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577F" w14:textId="77777777" w:rsidR="003029B8" w:rsidRPr="0078175B" w:rsidRDefault="003029B8" w:rsidP="002E1278">
      <w:pPr>
        <w:spacing w:after="480"/>
      </w:pPr>
      <w:r w:rsidRPr="0078175B">
        <w:rPr>
          <w:noProof/>
        </w:rPr>
        <w:drawing>
          <wp:inline distT="0" distB="0" distL="0" distR="0" wp14:anchorId="4FDFDF04" wp14:editId="0162F5F6">
            <wp:extent cx="1198486" cy="686040"/>
            <wp:effectExtent l="0" t="0" r="0" b="0"/>
            <wp:docPr id="562667241" name="Picture 1" descr="Victorian State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67241" name="Picture 1" descr="Victorian State Government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057" cy="77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A6CA4" w14:textId="70F34EE5" w:rsidR="002E1278" w:rsidRPr="0078175B" w:rsidRDefault="00E60CD3" w:rsidP="002E1278">
      <w:pPr>
        <w:pStyle w:val="Title"/>
        <w:rPr>
          <w:color w:val="000000"/>
        </w:rPr>
      </w:pPr>
      <w:r w:rsidRPr="00E60CD3">
        <w:t>Connecting</w:t>
      </w:r>
      <w:r w:rsidR="002A3271">
        <w:t xml:space="preserve"> </w:t>
      </w:r>
      <w:r w:rsidRPr="00E60CD3">
        <w:t>Victoria</w:t>
      </w:r>
      <w:r w:rsidR="002A3271">
        <w:t xml:space="preserve"> </w:t>
      </w:r>
      <w:r w:rsidRPr="00E60CD3">
        <w:t>to</w:t>
      </w:r>
      <w:r w:rsidR="002A3271">
        <w:t xml:space="preserve"> </w:t>
      </w:r>
      <w:r w:rsidRPr="00E60CD3">
        <w:t>the</w:t>
      </w:r>
      <w:r w:rsidR="002A3271">
        <w:t xml:space="preserve"> </w:t>
      </w:r>
      <w:r w:rsidRPr="00E60CD3">
        <w:t>World</w:t>
      </w:r>
    </w:p>
    <w:p w14:paraId="2F66B0B0" w14:textId="1C8EBFEE" w:rsidR="002E1278" w:rsidRDefault="00E60CD3" w:rsidP="002E1278">
      <w:pPr>
        <w:pStyle w:val="Subtitle"/>
        <w:spacing w:after="720"/>
      </w:pPr>
      <w:bookmarkStart w:id="0" w:name="_Toc149212483"/>
      <w:r w:rsidRPr="00E60CD3">
        <w:t>Trade</w:t>
      </w:r>
      <w:r w:rsidR="002A3271">
        <w:t xml:space="preserve"> </w:t>
      </w:r>
      <w:r w:rsidRPr="00E60CD3">
        <w:t>and</w:t>
      </w:r>
      <w:r w:rsidR="002A3271">
        <w:t xml:space="preserve"> </w:t>
      </w:r>
      <w:r w:rsidRPr="00E60CD3">
        <w:t>Investment</w:t>
      </w:r>
      <w:r w:rsidR="002A3271">
        <w:t xml:space="preserve"> </w:t>
      </w:r>
      <w:r>
        <w:t>-</w:t>
      </w:r>
      <w:r w:rsidR="002A3271">
        <w:t xml:space="preserve"> </w:t>
      </w:r>
      <w:r w:rsidRPr="00E60CD3">
        <w:t>A</w:t>
      </w:r>
      <w:r w:rsidR="002A3271">
        <w:t xml:space="preserve"> </w:t>
      </w:r>
      <w:r w:rsidRPr="00E60CD3">
        <w:t>Year</w:t>
      </w:r>
      <w:r w:rsidR="002A3271">
        <w:t xml:space="preserve"> </w:t>
      </w:r>
      <w:r w:rsidRPr="00E60CD3">
        <w:t>in</w:t>
      </w:r>
      <w:r w:rsidR="002A3271">
        <w:t xml:space="preserve"> </w:t>
      </w:r>
      <w:r w:rsidRPr="00E60CD3">
        <w:t>Review</w:t>
      </w:r>
      <w:r w:rsidR="002A3271">
        <w:t xml:space="preserve"> </w:t>
      </w:r>
      <w:r w:rsidRPr="00E60CD3">
        <w:t>2022-23</w:t>
      </w:r>
      <w:bookmarkEnd w:id="0"/>
    </w:p>
    <w:p w14:paraId="56936859" w14:textId="77777777" w:rsidR="009B1E82" w:rsidRPr="00FA505C" w:rsidRDefault="009B1E82" w:rsidP="00FA505C">
      <w:pPr>
        <w:rPr>
          <w:b/>
          <w:bCs/>
          <w:color w:val="532D8E"/>
        </w:rPr>
      </w:pPr>
      <w:r w:rsidRPr="00FA505C">
        <w:rPr>
          <w:b/>
          <w:bCs/>
        </w:rPr>
        <w:t>Acknowledgement</w:t>
      </w:r>
    </w:p>
    <w:p w14:paraId="7016F579" w14:textId="08D20A8A" w:rsidR="009B1E82" w:rsidRPr="00FA505C" w:rsidRDefault="009B1E82" w:rsidP="00FA505C">
      <w:r>
        <w:t>The</w:t>
      </w:r>
      <w:r w:rsidR="002A3271">
        <w:t xml:space="preserve"> </w:t>
      </w:r>
      <w:r>
        <w:t>Department</w:t>
      </w:r>
      <w:r w:rsidR="002A3271">
        <w:t xml:space="preserve"> </w:t>
      </w:r>
      <w:r>
        <w:t>of</w:t>
      </w:r>
      <w:r w:rsidR="002A3271">
        <w:t xml:space="preserve"> </w:t>
      </w:r>
      <w:r>
        <w:t>Jobs,</w:t>
      </w:r>
      <w:r w:rsidR="002A3271">
        <w:t xml:space="preserve"> </w:t>
      </w:r>
      <w:r>
        <w:t>Skills,</w:t>
      </w:r>
      <w:r w:rsidR="002A3271">
        <w:t xml:space="preserve"> </w:t>
      </w:r>
      <w:r>
        <w:t>Industry</w:t>
      </w:r>
      <w:r w:rsidR="002A3271">
        <w:t xml:space="preserve"> </w:t>
      </w:r>
      <w:r>
        <w:t>and</w:t>
      </w:r>
      <w:r w:rsidR="002A3271">
        <w:t xml:space="preserve"> </w:t>
      </w:r>
      <w:r>
        <w:t>Regions</w:t>
      </w:r>
      <w:r w:rsidR="002A3271">
        <w:t xml:space="preserve"> </w:t>
      </w:r>
      <w:r>
        <w:t>proudly</w:t>
      </w:r>
      <w:r w:rsidR="002A3271">
        <w:t xml:space="preserve"> </w:t>
      </w:r>
      <w:r>
        <w:t>acknowledges</w:t>
      </w:r>
      <w:r w:rsidR="002A3271">
        <w:t xml:space="preserve"> </w:t>
      </w:r>
      <w:r>
        <w:t>Victoria’s</w:t>
      </w:r>
      <w:r w:rsidR="002A3271">
        <w:t xml:space="preserve"> </w:t>
      </w:r>
      <w:r>
        <w:t>First</w:t>
      </w:r>
      <w:r w:rsidR="002A3271">
        <w:t xml:space="preserve"> </w:t>
      </w:r>
      <w:r>
        <w:t>Peoples</w:t>
      </w:r>
      <w:r w:rsidR="002A3271">
        <w:t xml:space="preserve"> </w:t>
      </w:r>
      <w:r>
        <w:t>and</w:t>
      </w:r>
      <w:r w:rsidR="002A3271">
        <w:t xml:space="preserve"> </w:t>
      </w:r>
      <w:r>
        <w:t>their</w:t>
      </w:r>
      <w:r w:rsidR="002A3271">
        <w:t xml:space="preserve"> </w:t>
      </w:r>
      <w:r>
        <w:t>ongoing</w:t>
      </w:r>
      <w:r w:rsidR="002A3271">
        <w:t xml:space="preserve"> </w:t>
      </w:r>
      <w:r w:rsidRPr="00FA505C">
        <w:t>strength</w:t>
      </w:r>
      <w:r w:rsidR="002A3271">
        <w:t xml:space="preserve"> </w:t>
      </w:r>
      <w:r w:rsidRPr="00FA505C">
        <w:t>in</w:t>
      </w:r>
      <w:r w:rsidR="002A3271">
        <w:t xml:space="preserve"> </w:t>
      </w:r>
      <w:r w:rsidRPr="00FA505C">
        <w:t>practising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world’s</w:t>
      </w:r>
      <w:r w:rsidR="002A3271">
        <w:t xml:space="preserve"> </w:t>
      </w:r>
      <w:r w:rsidRPr="00FA505C">
        <w:t>oldest</w:t>
      </w:r>
      <w:r w:rsidR="002A3271">
        <w:t xml:space="preserve"> </w:t>
      </w:r>
      <w:r w:rsidRPr="00FA505C">
        <w:t>living</w:t>
      </w:r>
      <w:r w:rsidR="002A3271">
        <w:t xml:space="preserve"> </w:t>
      </w:r>
      <w:r w:rsidRPr="00FA505C">
        <w:t>culture.</w:t>
      </w:r>
      <w:r w:rsidR="002A3271">
        <w:t xml:space="preserve"> </w:t>
      </w:r>
      <w:r w:rsidRPr="00FA505C">
        <w:t>We</w:t>
      </w:r>
      <w:r w:rsidR="002A3271">
        <w:t xml:space="preserve"> </w:t>
      </w:r>
      <w:r w:rsidRPr="00FA505C">
        <w:t>acknowledge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Traditional</w:t>
      </w:r>
      <w:r w:rsidR="002A3271">
        <w:t xml:space="preserve"> </w:t>
      </w:r>
      <w:r w:rsidRPr="00FA505C">
        <w:t>Owners</w:t>
      </w:r>
      <w:r w:rsidR="002A3271">
        <w:t xml:space="preserve"> </w:t>
      </w:r>
      <w:r w:rsidRPr="00FA505C">
        <w:t>of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lands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waters</w:t>
      </w:r>
      <w:r w:rsidR="002A3271">
        <w:t xml:space="preserve"> </w:t>
      </w:r>
      <w:r w:rsidRPr="00FA505C">
        <w:t>on</w:t>
      </w:r>
      <w:r w:rsidR="002A3271">
        <w:t xml:space="preserve"> </w:t>
      </w:r>
      <w:r w:rsidRPr="00FA505C">
        <w:t>which</w:t>
      </w:r>
      <w:r w:rsidR="002A3271">
        <w:t xml:space="preserve"> </w:t>
      </w:r>
      <w:r w:rsidRPr="00FA505C">
        <w:t>we</w:t>
      </w:r>
      <w:r w:rsidR="002A3271">
        <w:t xml:space="preserve"> </w:t>
      </w:r>
      <w:r w:rsidRPr="00FA505C">
        <w:t>live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work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pay</w:t>
      </w:r>
      <w:r w:rsidR="002A3271">
        <w:t xml:space="preserve"> </w:t>
      </w:r>
      <w:r w:rsidRPr="00FA505C">
        <w:t>our</w:t>
      </w:r>
      <w:r w:rsidR="002A3271">
        <w:t xml:space="preserve"> </w:t>
      </w:r>
      <w:r w:rsidRPr="00FA505C">
        <w:t>respect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their</w:t>
      </w:r>
      <w:r w:rsidR="002A3271">
        <w:t xml:space="preserve"> </w:t>
      </w:r>
      <w:r w:rsidRPr="00FA505C">
        <w:t>Elders</w:t>
      </w:r>
      <w:r w:rsidR="002A3271">
        <w:t xml:space="preserve"> </w:t>
      </w:r>
      <w:r w:rsidRPr="00FA505C">
        <w:t>past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present.</w:t>
      </w:r>
    </w:p>
    <w:p w14:paraId="3BD40650" w14:textId="0C488F06" w:rsidR="009B1E82" w:rsidRPr="00FA505C" w:rsidRDefault="009B1E82" w:rsidP="00FA505C">
      <w:r w:rsidRPr="00FA505C">
        <w:t>Authorised</w:t>
      </w:r>
      <w:r w:rsidR="002A3271">
        <w:t xml:space="preserve"> </w:t>
      </w:r>
      <w:r w:rsidRPr="00FA505C">
        <w:t>by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Victorian</w:t>
      </w:r>
      <w:r w:rsidR="002A3271">
        <w:t xml:space="preserve"> </w:t>
      </w:r>
      <w:r w:rsidRPr="00FA505C">
        <w:t>Government</w:t>
      </w:r>
      <w:r w:rsidR="002A3271">
        <w:t xml:space="preserve"> </w:t>
      </w:r>
      <w:r w:rsidR="00FA505C">
        <w:br/>
      </w:r>
      <w:r w:rsidRPr="00FA505C">
        <w:t>1</w:t>
      </w:r>
      <w:r w:rsidR="002A3271">
        <w:t xml:space="preserve"> </w:t>
      </w:r>
      <w:r w:rsidRPr="00FA505C">
        <w:t>Treasury</w:t>
      </w:r>
      <w:r w:rsidR="002A3271">
        <w:t xml:space="preserve"> </w:t>
      </w:r>
      <w:r w:rsidRPr="00FA505C">
        <w:t>Place</w:t>
      </w:r>
      <w:r w:rsidR="002A3271">
        <w:t xml:space="preserve"> </w:t>
      </w:r>
      <w:r w:rsidRPr="00FA505C">
        <w:br/>
        <w:t>Melbourne</w:t>
      </w:r>
      <w:r w:rsidR="002A3271">
        <w:t xml:space="preserve"> </w:t>
      </w:r>
      <w:r w:rsidRPr="00FA505C">
        <w:t>Victoria</w:t>
      </w:r>
      <w:r w:rsidR="002A3271">
        <w:t xml:space="preserve"> </w:t>
      </w:r>
      <w:r w:rsidRPr="00FA505C">
        <w:t>3002</w:t>
      </w:r>
      <w:r w:rsidR="002A3271">
        <w:t xml:space="preserve"> </w:t>
      </w:r>
      <w:r w:rsidRPr="00FA505C">
        <w:br/>
        <w:t>Australia</w:t>
      </w:r>
    </w:p>
    <w:p w14:paraId="5002FF82" w14:textId="191154BC" w:rsidR="009B1E82" w:rsidRPr="00FA505C" w:rsidRDefault="009B1E82" w:rsidP="00FA505C">
      <w:r w:rsidRPr="00FA505C">
        <w:t>Telephone:</w:t>
      </w:r>
      <w:r w:rsidRPr="00FA505C">
        <w:tab/>
        <w:t>+61</w:t>
      </w:r>
      <w:r w:rsidR="002A3271">
        <w:t xml:space="preserve"> </w:t>
      </w:r>
      <w:r w:rsidRPr="00FA505C">
        <w:t>3</w:t>
      </w:r>
      <w:r w:rsidR="002A3271">
        <w:t xml:space="preserve"> </w:t>
      </w:r>
      <w:r w:rsidRPr="00FA505C">
        <w:t>9651</w:t>
      </w:r>
      <w:r w:rsidR="002A3271">
        <w:t xml:space="preserve"> </w:t>
      </w:r>
      <w:r w:rsidRPr="00FA505C">
        <w:t>5111</w:t>
      </w:r>
      <w:r w:rsidR="002A3271">
        <w:t xml:space="preserve"> </w:t>
      </w:r>
    </w:p>
    <w:p w14:paraId="1E10ECE7" w14:textId="6BA089B9" w:rsidR="009B1E82" w:rsidRPr="00FA505C" w:rsidRDefault="009B1E82" w:rsidP="00FA505C">
      <w:r w:rsidRPr="00FA505C">
        <w:t>Facsimile:</w:t>
      </w:r>
      <w:r w:rsidRPr="00FA505C">
        <w:tab/>
        <w:t>+61</w:t>
      </w:r>
      <w:r w:rsidR="002A3271">
        <w:t xml:space="preserve"> </w:t>
      </w:r>
      <w:r w:rsidRPr="00FA505C">
        <w:t>3</w:t>
      </w:r>
      <w:r w:rsidR="002A3271">
        <w:t xml:space="preserve"> </w:t>
      </w:r>
      <w:r w:rsidRPr="00FA505C">
        <w:t>9651</w:t>
      </w:r>
      <w:r w:rsidR="002A3271">
        <w:t xml:space="preserve"> </w:t>
      </w:r>
      <w:r w:rsidRPr="00FA505C">
        <w:t>2062</w:t>
      </w:r>
    </w:p>
    <w:p w14:paraId="0A5D291F" w14:textId="34A499CF" w:rsidR="009B1E82" w:rsidRPr="00FA505C" w:rsidRDefault="009B1E82" w:rsidP="00FA505C">
      <w:r w:rsidRPr="00FA505C">
        <w:t>©</w:t>
      </w:r>
      <w:r w:rsidR="002A3271">
        <w:t xml:space="preserve"> </w:t>
      </w:r>
      <w:r w:rsidRPr="00FA505C">
        <w:t>State</w:t>
      </w:r>
      <w:r w:rsidR="002A3271">
        <w:t xml:space="preserve"> </w:t>
      </w:r>
      <w:r w:rsidRPr="00FA505C">
        <w:t>of</w:t>
      </w:r>
      <w:r w:rsidR="002A3271">
        <w:t xml:space="preserve"> </w:t>
      </w:r>
      <w:r w:rsidRPr="00FA505C">
        <w:t>Victoria</w:t>
      </w:r>
      <w:r w:rsidR="002A3271">
        <w:t xml:space="preserve"> </w:t>
      </w:r>
      <w:r w:rsidRPr="00FA505C">
        <w:t>2023</w:t>
      </w:r>
    </w:p>
    <w:p w14:paraId="32FF3D84" w14:textId="77777777" w:rsidR="009B1E82" w:rsidRPr="00FA505C" w:rsidRDefault="00684393" w:rsidP="00FA505C">
      <w:hyperlink r:id="rId11" w:history="1">
        <w:r w:rsidR="009B1E82" w:rsidRPr="00FA505C">
          <w:rPr>
            <w:rStyle w:val="Hyperlink"/>
          </w:rPr>
          <w:t>invest.vic.gov.au</w:t>
        </w:r>
      </w:hyperlink>
    </w:p>
    <w:p w14:paraId="04E7ADB9" w14:textId="7A89607F" w:rsidR="009B1E82" w:rsidRPr="00FA505C" w:rsidRDefault="00684393" w:rsidP="00FA505C">
      <w:hyperlink r:id="rId12" w:history="1">
        <w:r w:rsidR="009B1E82" w:rsidRPr="00FA505C">
          <w:rPr>
            <w:rStyle w:val="Hyperlink"/>
          </w:rPr>
          <w:t>global.vic.gov.au</w:t>
        </w:r>
      </w:hyperlink>
      <w:r w:rsidR="002A3271">
        <w:t xml:space="preserve"> </w:t>
      </w:r>
    </w:p>
    <w:p w14:paraId="47005199" w14:textId="77777777" w:rsidR="009B1E82" w:rsidRPr="00FA505C" w:rsidRDefault="00684393" w:rsidP="00FA505C">
      <w:hyperlink r:id="rId13" w:history="1">
        <w:r w:rsidR="009B1E82" w:rsidRPr="00FA505C">
          <w:rPr>
            <w:rStyle w:val="Hyperlink"/>
          </w:rPr>
          <w:t>studymelbourne.vic.gov.au</w:t>
        </w:r>
      </w:hyperlink>
    </w:p>
    <w:p w14:paraId="724727AE" w14:textId="5DE07825" w:rsidR="009B1E82" w:rsidRPr="00FA505C" w:rsidRDefault="009B1E82" w:rsidP="00FA505C">
      <w:r w:rsidRPr="00FA505C">
        <w:t>You</w:t>
      </w:r>
      <w:r w:rsidR="002A3271">
        <w:t xml:space="preserve"> </w:t>
      </w:r>
      <w:r w:rsidRPr="00FA505C">
        <w:t>are</w:t>
      </w:r>
      <w:r w:rsidR="002A3271">
        <w:t xml:space="preserve"> </w:t>
      </w:r>
      <w:r w:rsidRPr="00FA505C">
        <w:t>free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re-use</w:t>
      </w:r>
      <w:r w:rsidR="002A3271">
        <w:t xml:space="preserve"> </w:t>
      </w:r>
      <w:r w:rsidRPr="00FA505C">
        <w:t>this</w:t>
      </w:r>
      <w:r w:rsidR="002A3271">
        <w:t xml:space="preserve"> </w:t>
      </w:r>
      <w:r w:rsidRPr="00FA505C">
        <w:t>work</w:t>
      </w:r>
      <w:r w:rsidR="002A3271">
        <w:t xml:space="preserve"> </w:t>
      </w:r>
      <w:r w:rsidRPr="00FA505C">
        <w:t>under</w:t>
      </w:r>
      <w:r w:rsidR="002A3271">
        <w:t xml:space="preserve"> </w:t>
      </w:r>
      <w:r w:rsidRPr="00FA505C">
        <w:t>a</w:t>
      </w:r>
      <w:r w:rsidR="002A3271">
        <w:t xml:space="preserve"> </w:t>
      </w:r>
      <w:r w:rsidRPr="00FA505C">
        <w:t>Creative</w:t>
      </w:r>
      <w:r w:rsidR="002A3271">
        <w:t xml:space="preserve"> </w:t>
      </w:r>
      <w:r w:rsidRPr="00FA505C">
        <w:t>Commons</w:t>
      </w:r>
      <w:r w:rsidR="002A3271">
        <w:t xml:space="preserve"> </w:t>
      </w:r>
      <w:r w:rsidRPr="00FA505C">
        <w:t>Attribution</w:t>
      </w:r>
      <w:r w:rsidR="002A3271">
        <w:t xml:space="preserve"> </w:t>
      </w:r>
      <w:r w:rsidRPr="00FA505C">
        <w:t>4.0</w:t>
      </w:r>
      <w:r w:rsidR="002A3271">
        <w:t xml:space="preserve"> </w:t>
      </w:r>
      <w:r w:rsidRPr="00FA505C">
        <w:t>licence,</w:t>
      </w:r>
      <w:r w:rsidR="002A3271">
        <w:t xml:space="preserve"> </w:t>
      </w:r>
      <w:r w:rsidRPr="00FA505C">
        <w:t>provided</w:t>
      </w:r>
      <w:r w:rsidR="002A3271">
        <w:t xml:space="preserve"> </w:t>
      </w:r>
      <w:r w:rsidRPr="00FA505C">
        <w:t>you</w:t>
      </w:r>
      <w:r w:rsidR="002A3271">
        <w:t xml:space="preserve"> </w:t>
      </w:r>
      <w:r w:rsidRPr="00FA505C">
        <w:t>credit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State</w:t>
      </w:r>
      <w:r w:rsidR="002A3271">
        <w:t xml:space="preserve"> </w:t>
      </w:r>
      <w:r w:rsidRPr="00FA505C">
        <w:t>of</w:t>
      </w:r>
      <w:r w:rsidR="002A3271">
        <w:t xml:space="preserve"> </w:t>
      </w:r>
      <w:r w:rsidRPr="00FA505C">
        <w:t>Victoria</w:t>
      </w:r>
      <w:r w:rsidR="002A3271">
        <w:t xml:space="preserve"> </w:t>
      </w:r>
      <w:r w:rsidRPr="00FA505C">
        <w:t>(Department</w:t>
      </w:r>
      <w:r w:rsidR="002A3271">
        <w:t xml:space="preserve"> </w:t>
      </w:r>
      <w:r w:rsidRPr="00FA505C">
        <w:t>of</w:t>
      </w:r>
      <w:r w:rsidR="002A3271">
        <w:t xml:space="preserve"> </w:t>
      </w:r>
      <w:r w:rsidRPr="00FA505C">
        <w:t>Treasury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Finance)</w:t>
      </w:r>
      <w:r w:rsidR="002A3271">
        <w:t xml:space="preserve"> </w:t>
      </w:r>
      <w:r w:rsidRPr="00FA505C">
        <w:t>as</w:t>
      </w:r>
      <w:r w:rsidR="002A3271">
        <w:t xml:space="preserve"> </w:t>
      </w:r>
      <w:r w:rsidRPr="00FA505C">
        <w:t>author,</w:t>
      </w:r>
      <w:r w:rsidR="002A3271">
        <w:t xml:space="preserve"> </w:t>
      </w:r>
      <w:r w:rsidRPr="00FA505C">
        <w:t>indicate</w:t>
      </w:r>
      <w:r w:rsidR="002A3271">
        <w:t xml:space="preserve"> </w:t>
      </w:r>
      <w:r w:rsidRPr="00FA505C">
        <w:t>if</w:t>
      </w:r>
      <w:r w:rsidR="002A3271">
        <w:t xml:space="preserve"> </w:t>
      </w:r>
      <w:r w:rsidRPr="00FA505C">
        <w:t>changes</w:t>
      </w:r>
      <w:r w:rsidR="002A3271">
        <w:t xml:space="preserve"> </w:t>
      </w:r>
      <w:r w:rsidRPr="00FA505C">
        <w:t>were</w:t>
      </w:r>
      <w:r w:rsidR="002A3271">
        <w:t xml:space="preserve"> </w:t>
      </w:r>
      <w:r w:rsidRPr="00FA505C">
        <w:t>made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comply</w:t>
      </w:r>
      <w:r w:rsidR="002A3271">
        <w:t xml:space="preserve"> </w:t>
      </w:r>
      <w:r w:rsidRPr="00FA505C">
        <w:t>with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other</w:t>
      </w:r>
      <w:r w:rsidR="002A3271">
        <w:t xml:space="preserve"> </w:t>
      </w:r>
      <w:r w:rsidRPr="00FA505C">
        <w:t>licence</w:t>
      </w:r>
      <w:r w:rsidR="002A3271">
        <w:t xml:space="preserve"> </w:t>
      </w:r>
      <w:r w:rsidRPr="00FA505C">
        <w:t>terms.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licence</w:t>
      </w:r>
      <w:r w:rsidR="002A3271">
        <w:t xml:space="preserve"> </w:t>
      </w:r>
      <w:r w:rsidRPr="00FA505C">
        <w:t>does</w:t>
      </w:r>
      <w:r w:rsidR="002A3271">
        <w:t xml:space="preserve"> </w:t>
      </w:r>
      <w:r w:rsidRPr="00FA505C">
        <w:t>not</w:t>
      </w:r>
      <w:r w:rsidR="002A3271">
        <w:t xml:space="preserve"> </w:t>
      </w:r>
      <w:r w:rsidRPr="00FA505C">
        <w:t>apply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any</w:t>
      </w:r>
      <w:r w:rsidR="002A3271">
        <w:t xml:space="preserve"> </w:t>
      </w:r>
      <w:r w:rsidRPr="00FA505C">
        <w:t>branding,</w:t>
      </w:r>
      <w:r w:rsidR="002A3271">
        <w:t xml:space="preserve"> </w:t>
      </w:r>
      <w:r w:rsidRPr="00FA505C">
        <w:t>including</w:t>
      </w:r>
      <w:r w:rsidR="002A3271">
        <w:t xml:space="preserve"> </w:t>
      </w:r>
      <w:r w:rsidRPr="00FA505C">
        <w:t>Victorian</w:t>
      </w:r>
      <w:r w:rsidR="002A3271">
        <w:t xml:space="preserve"> </w:t>
      </w:r>
      <w:r w:rsidRPr="00FA505C">
        <w:t>Government</w:t>
      </w:r>
      <w:r w:rsidR="002A3271">
        <w:t xml:space="preserve"> </w:t>
      </w:r>
      <w:r w:rsidRPr="00FA505C">
        <w:t>logos.</w:t>
      </w:r>
    </w:p>
    <w:p w14:paraId="2ECA3AE5" w14:textId="142D56EA" w:rsidR="009B1E82" w:rsidRPr="00FA505C" w:rsidRDefault="009B1E82" w:rsidP="00FA505C">
      <w:r w:rsidRPr="00FA505C">
        <w:t>Copyright</w:t>
      </w:r>
      <w:r w:rsidR="002A3271">
        <w:t xml:space="preserve"> </w:t>
      </w:r>
      <w:r w:rsidRPr="00FA505C">
        <w:t>queries</w:t>
      </w:r>
      <w:r w:rsidR="002A3271">
        <w:t xml:space="preserve"> </w:t>
      </w:r>
      <w:r w:rsidRPr="00FA505C">
        <w:t>may</w:t>
      </w:r>
      <w:r w:rsidR="002A3271">
        <w:t xml:space="preserve"> </w:t>
      </w:r>
      <w:r w:rsidRPr="00FA505C">
        <w:t>be</w:t>
      </w:r>
      <w:r w:rsidR="002A3271">
        <w:t xml:space="preserve"> </w:t>
      </w:r>
      <w:r w:rsidRPr="00FA505C">
        <w:t>directed</w:t>
      </w:r>
      <w:r w:rsidR="002A3271">
        <w:t xml:space="preserve"> </w:t>
      </w:r>
      <w:r w:rsidRPr="00FA505C">
        <w:t>to</w:t>
      </w:r>
      <w:r w:rsidR="002A3271">
        <w:t xml:space="preserve"> </w:t>
      </w:r>
      <w:hyperlink r:id="rId14" w:history="1">
        <w:r w:rsidR="009E35C4" w:rsidRPr="003C285D">
          <w:rPr>
            <w:rStyle w:val="Hyperlink"/>
          </w:rPr>
          <w:t>IPpolicy@dtf.vic.gov.au</w:t>
        </w:r>
      </w:hyperlink>
      <w:r w:rsidR="002A3271">
        <w:t xml:space="preserve"> </w:t>
      </w:r>
    </w:p>
    <w:p w14:paraId="1F422043" w14:textId="6CCFAF60" w:rsidR="009B1E82" w:rsidRPr="00FA505C" w:rsidRDefault="009B1E82" w:rsidP="00FA505C">
      <w:r w:rsidRPr="00FA505C">
        <w:t>ISBN</w:t>
      </w:r>
      <w:r w:rsidR="002A3271">
        <w:t xml:space="preserve"> </w:t>
      </w:r>
      <w:r w:rsidRPr="00FA505C">
        <w:t>978-1-925551-77-8</w:t>
      </w:r>
      <w:r w:rsidR="002A3271">
        <w:t xml:space="preserve"> </w:t>
      </w:r>
      <w:r w:rsidRPr="00FA505C">
        <w:t>(pdf/online)</w:t>
      </w:r>
    </w:p>
    <w:p w14:paraId="46DC5F3D" w14:textId="4F4AED74" w:rsidR="009B1E82" w:rsidRPr="00FA505C" w:rsidRDefault="009B1E82" w:rsidP="00FA505C">
      <w:r w:rsidRPr="00FA505C">
        <w:t>Published</w:t>
      </w:r>
      <w:r w:rsidR="002A3271">
        <w:t xml:space="preserve"> </w:t>
      </w:r>
      <w:r w:rsidRPr="00FA505C">
        <w:t>October</w:t>
      </w:r>
      <w:r w:rsidR="002A3271">
        <w:t xml:space="preserve"> </w:t>
      </w:r>
      <w:r w:rsidRPr="00FA505C">
        <w:t>2023</w:t>
      </w:r>
    </w:p>
    <w:p w14:paraId="0F3E8A25" w14:textId="08C81C66" w:rsidR="009B1E82" w:rsidRPr="00FA505C" w:rsidRDefault="009B1E82" w:rsidP="00FA505C">
      <w:r w:rsidRPr="00FA505C">
        <w:t>If</w:t>
      </w:r>
      <w:r w:rsidR="002A3271">
        <w:t xml:space="preserve"> </w:t>
      </w:r>
      <w:r w:rsidRPr="00FA505C">
        <w:t>you</w:t>
      </w:r>
      <w:r w:rsidR="002A3271">
        <w:t xml:space="preserve"> </w:t>
      </w:r>
      <w:r w:rsidRPr="00FA505C">
        <w:t>would</w:t>
      </w:r>
      <w:r w:rsidR="002A3271">
        <w:t xml:space="preserve"> </w:t>
      </w:r>
      <w:r w:rsidRPr="00FA505C">
        <w:t>like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receive</w:t>
      </w:r>
      <w:r w:rsidR="002A3271">
        <w:t xml:space="preserve"> </w:t>
      </w:r>
      <w:r w:rsidRPr="00FA505C">
        <w:t>this</w:t>
      </w:r>
      <w:r w:rsidR="002A3271">
        <w:t xml:space="preserve"> </w:t>
      </w:r>
      <w:r w:rsidRPr="00FA505C">
        <w:t>publication</w:t>
      </w:r>
      <w:r w:rsidR="002A3271">
        <w:t xml:space="preserve"> </w:t>
      </w:r>
      <w:r w:rsidRPr="00FA505C">
        <w:t>in</w:t>
      </w:r>
      <w:r w:rsidR="002A3271">
        <w:t xml:space="preserve"> </w:t>
      </w:r>
      <w:r w:rsidRPr="00FA505C">
        <w:t>an</w:t>
      </w:r>
      <w:r w:rsidR="002A3271">
        <w:t xml:space="preserve"> </w:t>
      </w:r>
      <w:r w:rsidRPr="00FA505C">
        <w:t>accessible</w:t>
      </w:r>
      <w:r w:rsidR="002A3271">
        <w:t xml:space="preserve"> </w:t>
      </w:r>
      <w:r w:rsidRPr="00FA505C">
        <w:t>format,</w:t>
      </w:r>
      <w:r w:rsidR="002A3271">
        <w:t xml:space="preserve"> </w:t>
      </w:r>
      <w:r w:rsidRPr="00FA505C">
        <w:t>please</w:t>
      </w:r>
      <w:r w:rsidR="002A3271">
        <w:t xml:space="preserve"> </w:t>
      </w:r>
      <w:r w:rsidRPr="00FA505C">
        <w:t>call</w:t>
      </w:r>
      <w:r w:rsidR="002A3271">
        <w:t xml:space="preserve"> </w:t>
      </w:r>
      <w:r w:rsidRPr="00FA505C">
        <w:t>1800</w:t>
      </w:r>
      <w:r w:rsidR="002A3271">
        <w:t xml:space="preserve"> </w:t>
      </w:r>
      <w:r w:rsidRPr="00FA505C">
        <w:t>325</w:t>
      </w:r>
      <w:r w:rsidR="002A3271">
        <w:t xml:space="preserve"> </w:t>
      </w:r>
      <w:r w:rsidRPr="00FA505C">
        <w:t>224.</w:t>
      </w:r>
      <w:r w:rsidR="002A3271">
        <w:t xml:space="preserve"> </w:t>
      </w:r>
      <w:r w:rsidRPr="00FA505C">
        <w:t>This</w:t>
      </w:r>
      <w:r w:rsidR="002A3271">
        <w:t xml:space="preserve"> </w:t>
      </w:r>
      <w:r w:rsidRPr="00FA505C">
        <w:t>document</w:t>
      </w:r>
      <w:r w:rsidR="002A3271">
        <w:t xml:space="preserve"> </w:t>
      </w:r>
      <w:r w:rsidRPr="00FA505C">
        <w:t>is</w:t>
      </w:r>
      <w:r w:rsidR="002A3271">
        <w:t xml:space="preserve"> </w:t>
      </w:r>
      <w:r w:rsidRPr="00FA505C">
        <w:t>also</w:t>
      </w:r>
      <w:r w:rsidR="002A3271">
        <w:t xml:space="preserve"> </w:t>
      </w:r>
      <w:r w:rsidRPr="00FA505C">
        <w:t>available</w:t>
      </w:r>
      <w:r w:rsidR="002A3271">
        <w:t xml:space="preserve"> </w:t>
      </w:r>
      <w:r w:rsidRPr="00FA505C">
        <w:t>in</w:t>
      </w:r>
      <w:r w:rsidR="002A3271">
        <w:t xml:space="preserve"> </w:t>
      </w:r>
      <w:r w:rsidRPr="00FA505C">
        <w:t>PDF</w:t>
      </w:r>
      <w:r w:rsidR="002A3271">
        <w:t xml:space="preserve"> </w:t>
      </w:r>
      <w:r w:rsidRPr="00FA505C">
        <w:t>format</w:t>
      </w:r>
      <w:r w:rsidR="002A3271">
        <w:t xml:space="preserve"> </w:t>
      </w:r>
      <w:r w:rsidRPr="00FA505C">
        <w:t>at</w:t>
      </w:r>
      <w:r w:rsidR="002A3271">
        <w:t xml:space="preserve"> </w:t>
      </w:r>
      <w:hyperlink r:id="rId15" w:history="1">
        <w:r w:rsidRPr="00FA505C">
          <w:rPr>
            <w:rStyle w:val="Hyperlink"/>
          </w:rPr>
          <w:t>invest.vic.gov.au</w:t>
        </w:r>
      </w:hyperlink>
      <w:r w:rsidRPr="00FA505C">
        <w:t>,</w:t>
      </w:r>
      <w:r w:rsidR="002A3271">
        <w:t xml:space="preserve"> </w:t>
      </w:r>
      <w:hyperlink r:id="rId16" w:history="1">
        <w:r w:rsidRPr="00FA505C">
          <w:rPr>
            <w:rStyle w:val="Hyperlink"/>
          </w:rPr>
          <w:t>global.vic.gov.au</w:t>
        </w:r>
      </w:hyperlink>
      <w:r w:rsidR="002A3271">
        <w:t xml:space="preserve"> </w:t>
      </w:r>
      <w:r w:rsidRPr="00FA505C">
        <w:t>and</w:t>
      </w:r>
      <w:r w:rsidR="002A3271">
        <w:t xml:space="preserve"> </w:t>
      </w:r>
      <w:hyperlink r:id="rId17" w:history="1">
        <w:r w:rsidRPr="00FA505C">
          <w:rPr>
            <w:rStyle w:val="Hyperlink"/>
          </w:rPr>
          <w:t>studymelbourne.vic.gov.au</w:t>
        </w:r>
      </w:hyperlink>
    </w:p>
    <w:p w14:paraId="0A9E4881" w14:textId="77777777" w:rsidR="009B1E82" w:rsidRPr="009B1E82" w:rsidRDefault="009B1E82" w:rsidP="009B1E82"/>
    <w:p w14:paraId="57F15B1C" w14:textId="55EB252D" w:rsidR="001604E7" w:rsidRDefault="001604E7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r>
        <w:rPr>
          <w:rFonts w:cs="Calibri (Body)"/>
          <w:b w:val="0"/>
          <w:bCs w:val="0"/>
          <w:spacing w:val="0"/>
        </w:rPr>
        <w:fldChar w:fldCharType="begin"/>
      </w:r>
      <w:r>
        <w:rPr>
          <w:rFonts w:cs="Calibri (Body)"/>
          <w:b w:val="0"/>
          <w:bCs w:val="0"/>
          <w:spacing w:val="0"/>
        </w:rPr>
        <w:instrText xml:space="preserve"> TOC \o "1-2" \h \z \u </w:instrText>
      </w:r>
      <w:r>
        <w:rPr>
          <w:rFonts w:cs="Calibri (Body)"/>
          <w:b w:val="0"/>
          <w:bCs w:val="0"/>
          <w:spacing w:val="0"/>
        </w:rPr>
        <w:fldChar w:fldCharType="separate"/>
      </w:r>
      <w:hyperlink w:anchor="_Toc149212483" w:history="1">
        <w:r w:rsidRPr="009E5761">
          <w:rPr>
            <w:rStyle w:val="Hyperlink"/>
            <w:noProof/>
          </w:rPr>
          <w:t>Trade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and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Investment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-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A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Year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in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Review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2022-23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_Toc149212483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1412F51" w14:textId="236F6759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84" w:history="1">
        <w:r w:rsidR="001604E7" w:rsidRPr="009E5761">
          <w:rPr>
            <w:rStyle w:val="Hyperlink"/>
          </w:rPr>
          <w:t>Message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from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the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Minister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for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Economic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Growth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_Toc149212484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3</w:t>
        </w:r>
        <w:r w:rsidR="001604E7">
          <w:rPr>
            <w:webHidden/>
          </w:rPr>
          <w:fldChar w:fldCharType="end"/>
        </w:r>
      </w:hyperlink>
    </w:p>
    <w:p w14:paraId="1CC110B8" w14:textId="46349607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85" w:history="1">
        <w:r w:rsidR="001604E7" w:rsidRPr="009E5761">
          <w:rPr>
            <w:rStyle w:val="Hyperlink"/>
            <w:lang w:val="en-GB" w:eastAsia="en-GB"/>
          </w:rPr>
          <w:t>Message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from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the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CEO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_Toc149212485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4</w:t>
        </w:r>
        <w:r w:rsidR="001604E7">
          <w:rPr>
            <w:webHidden/>
          </w:rPr>
          <w:fldChar w:fldCharType="end"/>
        </w:r>
      </w:hyperlink>
    </w:p>
    <w:p w14:paraId="35AB119A" w14:textId="1E2B03FD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86" w:history="1">
        <w:r w:rsidR="001604E7" w:rsidRPr="009E5761">
          <w:rPr>
            <w:rStyle w:val="Hyperlink"/>
          </w:rPr>
          <w:t>Trade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and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Investment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_Toc149212486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5</w:t>
        </w:r>
        <w:r w:rsidR="001604E7">
          <w:rPr>
            <w:webHidden/>
          </w:rPr>
          <w:fldChar w:fldCharType="end"/>
        </w:r>
      </w:hyperlink>
    </w:p>
    <w:p w14:paraId="7ECF019B" w14:textId="49D5DC85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87" w:history="1">
        <w:r w:rsidR="001604E7" w:rsidRPr="009E5761">
          <w:rPr>
            <w:rStyle w:val="Hyperlink"/>
            <w:noProof/>
          </w:rPr>
          <w:t>Who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we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are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_Toc149212487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5</w:t>
        </w:r>
        <w:r w:rsidR="001604E7">
          <w:rPr>
            <w:noProof/>
            <w:webHidden/>
          </w:rPr>
          <w:fldChar w:fldCharType="end"/>
        </w:r>
      </w:hyperlink>
    </w:p>
    <w:p w14:paraId="667D8E25" w14:textId="571D7B84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88" w:history="1">
        <w:r w:rsidR="001604E7" w:rsidRPr="009E5761">
          <w:rPr>
            <w:rStyle w:val="Hyperlink"/>
          </w:rPr>
          <w:t>What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we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offer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_Toc149212488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6</w:t>
        </w:r>
        <w:r w:rsidR="001604E7">
          <w:rPr>
            <w:webHidden/>
          </w:rPr>
          <w:fldChar w:fldCharType="end"/>
        </w:r>
      </w:hyperlink>
    </w:p>
    <w:p w14:paraId="79C2FE93" w14:textId="3F6C26E3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89" w:history="1">
        <w:r w:rsidR="001604E7" w:rsidRPr="009E5761">
          <w:rPr>
            <w:rStyle w:val="Hyperlink"/>
            <w:noProof/>
          </w:rPr>
          <w:t>Victorian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Government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Trade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and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Investment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offices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_Toc149212489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6</w:t>
        </w:r>
        <w:r w:rsidR="001604E7">
          <w:rPr>
            <w:noProof/>
            <w:webHidden/>
          </w:rPr>
          <w:fldChar w:fldCharType="end"/>
        </w:r>
      </w:hyperlink>
    </w:p>
    <w:p w14:paraId="48AD4523" w14:textId="684DE028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90" w:history="1">
        <w:r w:rsidR="001604E7" w:rsidRPr="009E5761">
          <w:rPr>
            <w:rStyle w:val="Hyperlink"/>
            <w:lang w:val="en-GB" w:eastAsia="en-GB"/>
          </w:rPr>
          <w:t>Helping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innovators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and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exporters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reach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their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potential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_Toc149212490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6</w:t>
        </w:r>
        <w:r w:rsidR="001604E7">
          <w:rPr>
            <w:webHidden/>
          </w:rPr>
          <w:fldChar w:fldCharType="end"/>
        </w:r>
      </w:hyperlink>
    </w:p>
    <w:p w14:paraId="3A4233BF" w14:textId="6890B537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1" w:history="1">
        <w:r w:rsidR="001604E7" w:rsidRPr="009E5761">
          <w:rPr>
            <w:rStyle w:val="Hyperlink"/>
            <w:noProof/>
          </w:rPr>
          <w:t>Case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study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01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_Toc149212491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6</w:t>
        </w:r>
        <w:r w:rsidR="001604E7">
          <w:rPr>
            <w:noProof/>
            <w:webHidden/>
          </w:rPr>
          <w:fldChar w:fldCharType="end"/>
        </w:r>
      </w:hyperlink>
    </w:p>
    <w:p w14:paraId="18C7ECAC" w14:textId="1991E00E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2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02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_Toc149212492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7</w:t>
        </w:r>
        <w:r w:rsidR="001604E7">
          <w:rPr>
            <w:noProof/>
            <w:webHidden/>
          </w:rPr>
          <w:fldChar w:fldCharType="end"/>
        </w:r>
      </w:hyperlink>
    </w:p>
    <w:p w14:paraId="48CF447F" w14:textId="41EE3055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3" w:history="1">
        <w:r w:rsidR="001604E7" w:rsidRPr="009E5761">
          <w:rPr>
            <w:rStyle w:val="Hyperlink"/>
            <w:noProof/>
          </w:rPr>
          <w:t>Case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study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03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_Toc149212493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7</w:t>
        </w:r>
        <w:r w:rsidR="001604E7">
          <w:rPr>
            <w:noProof/>
            <w:webHidden/>
          </w:rPr>
          <w:fldChar w:fldCharType="end"/>
        </w:r>
      </w:hyperlink>
    </w:p>
    <w:p w14:paraId="528396F3" w14:textId="597895D6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4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04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_Toc149212494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7</w:t>
        </w:r>
        <w:r w:rsidR="001604E7">
          <w:rPr>
            <w:noProof/>
            <w:webHidden/>
          </w:rPr>
          <w:fldChar w:fldCharType="end"/>
        </w:r>
      </w:hyperlink>
    </w:p>
    <w:p w14:paraId="1D42C7D0" w14:textId="1A00F3E5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95" w:history="1">
        <w:r w:rsidR="001604E7" w:rsidRPr="009E5761">
          <w:rPr>
            <w:rStyle w:val="Hyperlink"/>
            <w:lang w:val="en-GB" w:eastAsia="en-GB"/>
          </w:rPr>
          <w:t>Trade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support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_Toc149212495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8</w:t>
        </w:r>
        <w:r w:rsidR="001604E7">
          <w:rPr>
            <w:webHidden/>
          </w:rPr>
          <w:fldChar w:fldCharType="end"/>
        </w:r>
      </w:hyperlink>
    </w:p>
    <w:p w14:paraId="25F840BE" w14:textId="71FF429C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6" w:history="1">
        <w:r w:rsidR="001604E7" w:rsidRPr="009E5761">
          <w:rPr>
            <w:rStyle w:val="Hyperlink"/>
            <w:noProof/>
            <w:lang w:val="en-GB" w:eastAsia="en-GB"/>
          </w:rPr>
          <w:t>Trade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facilitation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and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promotion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_Toc149212496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8</w:t>
        </w:r>
        <w:r w:rsidR="001604E7">
          <w:rPr>
            <w:noProof/>
            <w:webHidden/>
          </w:rPr>
          <w:fldChar w:fldCharType="end"/>
        </w:r>
      </w:hyperlink>
    </w:p>
    <w:p w14:paraId="3FD88C1F" w14:textId="4CD11473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7" w:history="1">
        <w:r w:rsidR="001604E7" w:rsidRPr="009E5761">
          <w:rPr>
            <w:rStyle w:val="Hyperlink"/>
            <w:noProof/>
            <w:lang w:val="en-GB" w:eastAsia="en-GB"/>
          </w:rPr>
          <w:t>Trade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missions,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market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entry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exploration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and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opportunities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_Toc149212497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71844598" w14:textId="067B58C9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8" w:history="1">
        <w:r w:rsidR="001604E7" w:rsidRPr="009E5761">
          <w:rPr>
            <w:rStyle w:val="Hyperlink"/>
            <w:noProof/>
          </w:rPr>
          <w:t>Access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program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_Toc149212498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7A6ECB3B" w14:textId="00D56F24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9" w:history="1">
        <w:r w:rsidR="001604E7" w:rsidRPr="009E5761">
          <w:rPr>
            <w:rStyle w:val="Hyperlink"/>
            <w:noProof/>
            <w:lang w:val="en-GB" w:eastAsia="en-GB"/>
          </w:rPr>
          <w:t>Promoting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Victoria’s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diverse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exporting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capabilities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_Toc149212499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07778FBF" w14:textId="5A1A7A34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0" w:history="1">
        <w:r w:rsidR="001604E7" w:rsidRPr="009E5761">
          <w:rPr>
            <w:rStyle w:val="Hyperlink"/>
            <w:noProof/>
          </w:rPr>
          <w:t>Global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Victoria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Women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_Toc149212500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10D248DD" w14:textId="52CF6A23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1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05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_Toc149212501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6E41FBC8" w14:textId="60DF92B2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2" w:history="1">
        <w:r w:rsidR="001604E7" w:rsidRPr="009E5761">
          <w:rPr>
            <w:rStyle w:val="Hyperlink"/>
            <w:noProof/>
            <w:lang w:val="en-GB" w:eastAsia="en-GB"/>
          </w:rPr>
          <w:t>Trade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outcomes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2022-23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_Toc149212502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10</w:t>
        </w:r>
        <w:r w:rsidR="001604E7">
          <w:rPr>
            <w:noProof/>
            <w:webHidden/>
          </w:rPr>
          <w:fldChar w:fldCharType="end"/>
        </w:r>
      </w:hyperlink>
    </w:p>
    <w:p w14:paraId="74651C04" w14:textId="13E027B5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3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06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_Toc149212503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10</w:t>
        </w:r>
        <w:r w:rsidR="001604E7">
          <w:rPr>
            <w:noProof/>
            <w:webHidden/>
          </w:rPr>
          <w:fldChar w:fldCharType="end"/>
        </w:r>
      </w:hyperlink>
    </w:p>
    <w:p w14:paraId="65F0C91A" w14:textId="1E9BCA78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4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07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_Toc149212504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11</w:t>
        </w:r>
        <w:r w:rsidR="001604E7">
          <w:rPr>
            <w:noProof/>
            <w:webHidden/>
          </w:rPr>
          <w:fldChar w:fldCharType="end"/>
        </w:r>
      </w:hyperlink>
    </w:p>
    <w:p w14:paraId="615FC9D4" w14:textId="496E4580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505" w:history="1">
        <w:r w:rsidR="001604E7" w:rsidRPr="009E5761">
          <w:rPr>
            <w:rStyle w:val="Hyperlink"/>
            <w:lang w:val="en-GB" w:eastAsia="en-GB"/>
          </w:rPr>
          <w:t>Investment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support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_Toc149212505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11</w:t>
        </w:r>
        <w:r w:rsidR="001604E7">
          <w:rPr>
            <w:webHidden/>
          </w:rPr>
          <w:fldChar w:fldCharType="end"/>
        </w:r>
      </w:hyperlink>
    </w:p>
    <w:p w14:paraId="32CEAC9F" w14:textId="7D9788E4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6" w:history="1">
        <w:r w:rsidR="001604E7" w:rsidRPr="009E5761">
          <w:rPr>
            <w:rStyle w:val="Hyperlink"/>
            <w:noProof/>
            <w:lang w:val="en-GB" w:eastAsia="en-GB"/>
          </w:rPr>
          <w:t>Investment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attraction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and</w:t>
        </w:r>
        <w:r w:rsidR="002A3271">
          <w:rPr>
            <w:rStyle w:val="Hyperlink"/>
            <w:rFonts w:ascii="Cambria" w:hAnsi="Cambria" w:cs="Cambria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facilitation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_Toc149212506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11</w:t>
        </w:r>
        <w:r w:rsidR="001604E7">
          <w:rPr>
            <w:noProof/>
            <w:webHidden/>
          </w:rPr>
          <w:fldChar w:fldCharType="end"/>
        </w:r>
      </w:hyperlink>
    </w:p>
    <w:p w14:paraId="3DC12B1A" w14:textId="297FA49F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7" w:history="1">
        <w:r w:rsidR="001604E7" w:rsidRPr="009E5761">
          <w:rPr>
            <w:rStyle w:val="Hyperlink"/>
            <w:noProof/>
            <w:lang w:val="en-GB" w:eastAsia="en-GB"/>
          </w:rPr>
          <w:t>Venture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Growth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Fund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_Toc149212507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12</w:t>
        </w:r>
        <w:r w:rsidR="001604E7">
          <w:rPr>
            <w:noProof/>
            <w:webHidden/>
          </w:rPr>
          <w:fldChar w:fldCharType="end"/>
        </w:r>
      </w:hyperlink>
    </w:p>
    <w:p w14:paraId="369F4808" w14:textId="14D59D28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8" w:history="1">
        <w:r w:rsidR="001604E7" w:rsidRPr="009E5761">
          <w:rPr>
            <w:rStyle w:val="Hyperlink"/>
            <w:noProof/>
            <w:lang w:val="en-GB" w:eastAsia="en-GB"/>
          </w:rPr>
          <w:t>Equity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Investment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Attraction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Fund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_Toc149212508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12</w:t>
        </w:r>
        <w:r w:rsidR="001604E7">
          <w:rPr>
            <w:noProof/>
            <w:webHidden/>
          </w:rPr>
          <w:fldChar w:fldCharType="end"/>
        </w:r>
      </w:hyperlink>
    </w:p>
    <w:p w14:paraId="179B2E9B" w14:textId="6C357545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9" w:history="1">
        <w:r w:rsidR="001604E7" w:rsidRPr="009E5761">
          <w:rPr>
            <w:rStyle w:val="Hyperlink"/>
            <w:noProof/>
            <w:lang w:val="en-GB" w:eastAsia="en-GB"/>
          </w:rPr>
          <w:t>Talent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Finder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_Toc149212509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12</w:t>
        </w:r>
        <w:r w:rsidR="001604E7">
          <w:rPr>
            <w:noProof/>
            <w:webHidden/>
          </w:rPr>
          <w:fldChar w:fldCharType="end"/>
        </w:r>
      </w:hyperlink>
    </w:p>
    <w:p w14:paraId="37579FAA" w14:textId="4911D215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0" w:history="1">
        <w:r w:rsidR="001604E7" w:rsidRPr="009E5761">
          <w:rPr>
            <w:rStyle w:val="Hyperlink"/>
            <w:noProof/>
            <w:lang w:val="en-GB" w:eastAsia="en-GB"/>
          </w:rPr>
          <w:t>Investment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outcomes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2022-23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_Toc149212510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13</w:t>
        </w:r>
        <w:r w:rsidR="001604E7">
          <w:rPr>
            <w:noProof/>
            <w:webHidden/>
          </w:rPr>
          <w:fldChar w:fldCharType="end"/>
        </w:r>
      </w:hyperlink>
    </w:p>
    <w:p w14:paraId="37950ECE" w14:textId="371B9C5D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1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08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_Toc149212511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14</w:t>
        </w:r>
        <w:r w:rsidR="001604E7">
          <w:rPr>
            <w:noProof/>
            <w:webHidden/>
          </w:rPr>
          <w:fldChar w:fldCharType="end"/>
        </w:r>
      </w:hyperlink>
    </w:p>
    <w:p w14:paraId="6C65CAB4" w14:textId="7880ED71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512" w:history="1">
        <w:r w:rsidR="001604E7" w:rsidRPr="009E5761">
          <w:rPr>
            <w:rStyle w:val="Hyperlink"/>
            <w:lang w:val="en-GB" w:eastAsia="en-GB"/>
          </w:rPr>
          <w:t>International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education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_Toc149212512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15</w:t>
        </w:r>
        <w:r w:rsidR="001604E7">
          <w:rPr>
            <w:webHidden/>
          </w:rPr>
          <w:fldChar w:fldCharType="end"/>
        </w:r>
      </w:hyperlink>
    </w:p>
    <w:p w14:paraId="181E3B60" w14:textId="046FB36B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3" w:history="1">
        <w:r w:rsidR="001604E7" w:rsidRPr="009E5761">
          <w:rPr>
            <w:rStyle w:val="Hyperlink"/>
            <w:noProof/>
            <w:lang w:val="en-GB" w:eastAsia="en-GB"/>
          </w:rPr>
          <w:t>International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education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promotion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and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attraction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_Toc149212513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15</w:t>
        </w:r>
        <w:r w:rsidR="001604E7">
          <w:rPr>
            <w:noProof/>
            <w:webHidden/>
          </w:rPr>
          <w:fldChar w:fldCharType="end"/>
        </w:r>
      </w:hyperlink>
    </w:p>
    <w:p w14:paraId="5AD89F93" w14:textId="73C50979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4" w:history="1">
        <w:r w:rsidR="001604E7" w:rsidRPr="009E5761">
          <w:rPr>
            <w:rStyle w:val="Hyperlink"/>
            <w:noProof/>
          </w:rPr>
          <w:t>International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Education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Recovery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Plan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2025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_Toc149212514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15</w:t>
        </w:r>
        <w:r w:rsidR="001604E7">
          <w:rPr>
            <w:noProof/>
            <w:webHidden/>
          </w:rPr>
          <w:fldChar w:fldCharType="end"/>
        </w:r>
      </w:hyperlink>
    </w:p>
    <w:p w14:paraId="436EB21A" w14:textId="45170077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5" w:history="1">
        <w:r w:rsidR="001604E7" w:rsidRPr="009E5761">
          <w:rPr>
            <w:rStyle w:val="Hyperlink"/>
            <w:noProof/>
            <w:lang w:val="en-GB" w:eastAsia="en-GB"/>
          </w:rPr>
          <w:t>International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education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outcomes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2022-23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_Toc149212515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17</w:t>
        </w:r>
        <w:r w:rsidR="001604E7">
          <w:rPr>
            <w:noProof/>
            <w:webHidden/>
          </w:rPr>
          <w:fldChar w:fldCharType="end"/>
        </w:r>
      </w:hyperlink>
    </w:p>
    <w:p w14:paraId="08B37846" w14:textId="5C7B7A37" w:rsidR="001604E7" w:rsidRDefault="00684393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6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09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_Toc149212516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18</w:t>
        </w:r>
        <w:r w:rsidR="001604E7">
          <w:rPr>
            <w:noProof/>
            <w:webHidden/>
          </w:rPr>
          <w:fldChar w:fldCharType="end"/>
        </w:r>
      </w:hyperlink>
    </w:p>
    <w:p w14:paraId="6819CD53" w14:textId="5EC5F4A6" w:rsidR="001604E7" w:rsidRDefault="00684393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517" w:history="1">
        <w:r w:rsidR="001604E7" w:rsidRPr="009E5761">
          <w:rPr>
            <w:rStyle w:val="Hyperlink"/>
            <w:lang w:val="en-GB" w:eastAsia="en-GB"/>
          </w:rPr>
          <w:t>Contact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us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_Toc149212517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18</w:t>
        </w:r>
        <w:r w:rsidR="001604E7">
          <w:rPr>
            <w:webHidden/>
          </w:rPr>
          <w:fldChar w:fldCharType="end"/>
        </w:r>
      </w:hyperlink>
    </w:p>
    <w:p w14:paraId="0F2046D9" w14:textId="40E6D653" w:rsidR="003029B8" w:rsidRDefault="001604E7" w:rsidP="00847673">
      <w:r>
        <w:rPr>
          <w:rFonts w:cs="Calibri (Body)"/>
          <w:b/>
          <w:bCs/>
          <w:spacing w:val="0"/>
        </w:rPr>
        <w:fldChar w:fldCharType="end"/>
      </w:r>
    </w:p>
    <w:p w14:paraId="2081DC39" w14:textId="47993148" w:rsidR="009B1E82" w:rsidRDefault="009B1E82" w:rsidP="00FA505C">
      <w:pPr>
        <w:pStyle w:val="Heading1"/>
      </w:pPr>
      <w:bookmarkStart w:id="1" w:name="_Toc149212484"/>
      <w:r>
        <w:t>Message</w:t>
      </w:r>
      <w:r w:rsidR="002A3271">
        <w:t xml:space="preserve"> </w:t>
      </w:r>
      <w:r>
        <w:t>from</w:t>
      </w:r>
      <w:r w:rsidR="002A3271">
        <w:t xml:space="preserve"> </w:t>
      </w:r>
      <w:r>
        <w:t>the</w:t>
      </w:r>
      <w:r w:rsidR="002A3271">
        <w:t xml:space="preserve"> </w:t>
      </w:r>
      <w:r>
        <w:t>Minister</w:t>
      </w:r>
      <w:r w:rsidR="002A3271">
        <w:t xml:space="preserve"> </w:t>
      </w:r>
      <w:r>
        <w:t>for</w:t>
      </w:r>
      <w:r w:rsidR="002A3271">
        <w:t xml:space="preserve"> </w:t>
      </w:r>
      <w:r>
        <w:t>Economic</w:t>
      </w:r>
      <w:r w:rsidR="002A3271">
        <w:t xml:space="preserve"> </w:t>
      </w:r>
      <w:r>
        <w:t>Growth</w:t>
      </w:r>
      <w:bookmarkEnd w:id="1"/>
    </w:p>
    <w:p w14:paraId="30EA2829" w14:textId="41F5CDD3" w:rsidR="009B1E82" w:rsidRPr="00FA505C" w:rsidRDefault="009B1E82" w:rsidP="00FA505C">
      <w:r w:rsidRPr="00FA505C">
        <w:t>Victoria</w:t>
      </w:r>
      <w:r w:rsidR="002A3271">
        <w:t xml:space="preserve"> </w:t>
      </w:r>
      <w:r w:rsidRPr="00FA505C">
        <w:t>is</w:t>
      </w:r>
      <w:r w:rsidR="002A3271">
        <w:t xml:space="preserve"> </w:t>
      </w:r>
      <w:r w:rsidRPr="00FA505C">
        <w:t>looking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future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we’re</w:t>
      </w:r>
      <w:r w:rsidR="002A3271">
        <w:t xml:space="preserve"> </w:t>
      </w:r>
      <w:r w:rsidRPr="00FA505C">
        <w:t>connecting</w:t>
      </w:r>
      <w:r w:rsidR="002A3271">
        <w:t xml:space="preserve"> </w:t>
      </w:r>
      <w:r w:rsidRPr="00FA505C">
        <w:t>Victoria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world.</w:t>
      </w:r>
    </w:p>
    <w:p w14:paraId="2213823D" w14:textId="5EDC6E24" w:rsidR="009B1E82" w:rsidRDefault="009B1E82" w:rsidP="00FA505C">
      <w:r>
        <w:t>Victoria’s</w:t>
      </w:r>
      <w:r w:rsidR="002A3271">
        <w:t xml:space="preserve"> </w:t>
      </w:r>
      <w:r>
        <w:t>economy</w:t>
      </w:r>
      <w:r w:rsidR="002A3271">
        <w:t xml:space="preserve"> </w:t>
      </w:r>
      <w:r>
        <w:t>is</w:t>
      </w:r>
      <w:r w:rsidR="002A3271">
        <w:t xml:space="preserve"> </w:t>
      </w:r>
      <w:r>
        <w:t>strong</w:t>
      </w:r>
      <w:r w:rsidR="002A3271">
        <w:t xml:space="preserve"> </w:t>
      </w:r>
      <w:r>
        <w:t>and</w:t>
      </w:r>
      <w:r w:rsidR="002A3271">
        <w:t xml:space="preserve"> </w:t>
      </w:r>
      <w:r>
        <w:t>growing</w:t>
      </w:r>
      <w:r w:rsidR="002A3271">
        <w:t xml:space="preserve"> </w:t>
      </w:r>
      <w:r>
        <w:t>stronger</w:t>
      </w:r>
      <w:r w:rsidR="002A3271">
        <w:t xml:space="preserve"> </w:t>
      </w:r>
      <w:r>
        <w:t>and</w:t>
      </w:r>
      <w:r w:rsidR="002A3271">
        <w:t xml:space="preserve"> </w:t>
      </w:r>
      <w:r>
        <w:t>connecting</w:t>
      </w:r>
      <w:r w:rsidR="002A3271">
        <w:t xml:space="preserve"> </w:t>
      </w:r>
      <w:r>
        <w:t>with</w:t>
      </w:r>
      <w:r w:rsidR="002A3271">
        <w:t xml:space="preserve"> </w:t>
      </w:r>
      <w:r>
        <w:t>the</w:t>
      </w:r>
      <w:r w:rsidR="002A3271">
        <w:t xml:space="preserve"> </w:t>
      </w:r>
      <w:r>
        <w:t>world</w:t>
      </w:r>
      <w:r w:rsidR="002A3271">
        <w:t xml:space="preserve"> </w:t>
      </w:r>
      <w:r>
        <w:t>is</w:t>
      </w:r>
      <w:r w:rsidR="002A3271">
        <w:t xml:space="preserve"> </w:t>
      </w:r>
      <w:r>
        <w:t>part</w:t>
      </w:r>
      <w:r w:rsidR="002A3271">
        <w:t xml:space="preserve"> </w:t>
      </w:r>
      <w:r>
        <w:t>of</w:t>
      </w:r>
      <w:r w:rsidR="002A3271">
        <w:t xml:space="preserve"> </w:t>
      </w:r>
      <w:r>
        <w:t>that</w:t>
      </w:r>
      <w:r w:rsidR="002A3271">
        <w:t xml:space="preserve"> </w:t>
      </w:r>
      <w:r>
        <w:t>success.</w:t>
      </w:r>
    </w:p>
    <w:p w14:paraId="617833BA" w14:textId="731F02E8" w:rsidR="009B1E82" w:rsidRDefault="009B1E82" w:rsidP="00FA505C">
      <w:r>
        <w:t>Victorian</w:t>
      </w:r>
      <w:r w:rsidR="002A3271">
        <w:t xml:space="preserve"> </w:t>
      </w:r>
      <w:r>
        <w:t>products</w:t>
      </w:r>
      <w:r w:rsidR="002A3271">
        <w:t xml:space="preserve"> </w:t>
      </w:r>
      <w:r>
        <w:t>are</w:t>
      </w:r>
      <w:r w:rsidR="002A3271">
        <w:t xml:space="preserve"> </w:t>
      </w:r>
      <w:r>
        <w:t>in</w:t>
      </w:r>
      <w:r w:rsidR="002A3271">
        <w:t xml:space="preserve"> </w:t>
      </w:r>
      <w:r>
        <w:t>demand</w:t>
      </w:r>
      <w:r w:rsidR="002A3271">
        <w:t xml:space="preserve"> </w:t>
      </w:r>
      <w:r>
        <w:t>overseas</w:t>
      </w:r>
      <w:r w:rsidR="002A3271">
        <w:t xml:space="preserve"> </w:t>
      </w:r>
      <w:r>
        <w:t>as</w:t>
      </w:r>
      <w:r w:rsidR="002A3271">
        <w:t xml:space="preserve"> </w:t>
      </w:r>
      <w:r>
        <w:t>more</w:t>
      </w:r>
      <w:r w:rsidR="002A3271">
        <w:t xml:space="preserve"> </w:t>
      </w:r>
      <w:r>
        <w:t>and</w:t>
      </w:r>
      <w:r w:rsidR="002A3271">
        <w:t xml:space="preserve"> </w:t>
      </w:r>
      <w:r>
        <w:t>more</w:t>
      </w:r>
      <w:r w:rsidR="002A3271">
        <w:t xml:space="preserve"> </w:t>
      </w:r>
      <w:r>
        <w:t>consumers</w:t>
      </w:r>
      <w:r w:rsidR="002A3271">
        <w:t xml:space="preserve"> </w:t>
      </w:r>
      <w:r>
        <w:t>want</w:t>
      </w:r>
      <w:r w:rsidR="002A3271">
        <w:t xml:space="preserve"> </w:t>
      </w:r>
      <w:r>
        <w:t>what</w:t>
      </w:r>
      <w:r w:rsidR="002A3271">
        <w:t xml:space="preserve"> </w:t>
      </w:r>
      <w:r>
        <w:t>we</w:t>
      </w:r>
      <w:r w:rsidR="002A3271">
        <w:t xml:space="preserve"> </w:t>
      </w:r>
      <w:r>
        <w:t>have</w:t>
      </w:r>
      <w:r w:rsidR="002A3271">
        <w:t xml:space="preserve"> </w:t>
      </w:r>
      <w:r>
        <w:t>on</w:t>
      </w:r>
      <w:r w:rsidR="002A3271">
        <w:t xml:space="preserve"> </w:t>
      </w:r>
      <w:r>
        <w:t>offer.</w:t>
      </w:r>
    </w:p>
    <w:p w14:paraId="5B65510B" w14:textId="71F6287B" w:rsidR="009B1E82" w:rsidRDefault="009B1E82" w:rsidP="00FA505C">
      <w:r>
        <w:t>Our</w:t>
      </w:r>
      <w:r w:rsidR="002A3271">
        <w:t xml:space="preserve"> </w:t>
      </w:r>
      <w:r>
        <w:t>international</w:t>
      </w:r>
      <w:r w:rsidR="002A3271">
        <w:t xml:space="preserve"> </w:t>
      </w:r>
      <w:r>
        <w:t>reputation</w:t>
      </w:r>
      <w:r w:rsidR="002A3271">
        <w:t xml:space="preserve"> </w:t>
      </w:r>
      <w:r>
        <w:t>is</w:t>
      </w:r>
      <w:r w:rsidR="002A3271">
        <w:t xml:space="preserve"> </w:t>
      </w:r>
      <w:r>
        <w:t>growing,</w:t>
      </w:r>
      <w:r w:rsidR="002A3271">
        <w:t xml:space="preserve"> </w:t>
      </w:r>
      <w:r>
        <w:t>too,</w:t>
      </w:r>
      <w:r w:rsidR="002A3271">
        <w:t xml:space="preserve"> </w:t>
      </w:r>
      <w:r>
        <w:t>as</w:t>
      </w:r>
      <w:r w:rsidR="002A3271">
        <w:t xml:space="preserve"> </w:t>
      </w:r>
      <w:r>
        <w:t>more</w:t>
      </w:r>
      <w:r w:rsidR="002A3271">
        <w:t xml:space="preserve"> </w:t>
      </w:r>
      <w:r>
        <w:t>companies</w:t>
      </w:r>
      <w:r w:rsidR="002A3271">
        <w:t xml:space="preserve"> </w:t>
      </w:r>
      <w:r>
        <w:t>and</w:t>
      </w:r>
      <w:r w:rsidR="002A3271">
        <w:t xml:space="preserve"> </w:t>
      </w:r>
      <w:r>
        <w:t>investors</w:t>
      </w:r>
      <w:r w:rsidR="002A3271">
        <w:t xml:space="preserve"> </w:t>
      </w:r>
      <w:r>
        <w:t>see</w:t>
      </w:r>
      <w:r w:rsidR="002A3271">
        <w:t xml:space="preserve"> </w:t>
      </w:r>
      <w:r>
        <w:t>that</w:t>
      </w:r>
      <w:r w:rsidR="002A3271">
        <w:t xml:space="preserve"> </w:t>
      </w:r>
      <w:r>
        <w:t>Victoria</w:t>
      </w:r>
      <w:r w:rsidR="002A3271">
        <w:t xml:space="preserve"> </w:t>
      </w:r>
      <w:r>
        <w:t>is</w:t>
      </w:r>
      <w:r w:rsidR="002A3271">
        <w:t xml:space="preserve"> </w:t>
      </w:r>
      <w:r>
        <w:t>a</w:t>
      </w:r>
      <w:r w:rsidR="002A3271">
        <w:t xml:space="preserve"> </w:t>
      </w:r>
      <w:r>
        <w:t>great</w:t>
      </w:r>
      <w:r w:rsidR="002A3271">
        <w:t xml:space="preserve"> </w:t>
      </w:r>
      <w:r>
        <w:t>place</w:t>
      </w:r>
      <w:r w:rsidR="002A3271">
        <w:t xml:space="preserve"> </w:t>
      </w:r>
      <w:r>
        <w:t>to</w:t>
      </w:r>
      <w:r w:rsidR="002A3271">
        <w:t xml:space="preserve"> </w:t>
      </w:r>
      <w:r>
        <w:t>do</w:t>
      </w:r>
      <w:r w:rsidR="002A3271">
        <w:t xml:space="preserve"> </w:t>
      </w:r>
      <w:r>
        <w:t>business.</w:t>
      </w:r>
    </w:p>
    <w:p w14:paraId="58E2F11B" w14:textId="25ECC031" w:rsidR="009B1E82" w:rsidRDefault="009B1E82" w:rsidP="00FA505C">
      <w:r>
        <w:t>Billions</w:t>
      </w:r>
      <w:r w:rsidR="002A3271">
        <w:t xml:space="preserve"> </w:t>
      </w:r>
      <w:r>
        <w:t>of</w:t>
      </w:r>
      <w:r w:rsidR="002A3271">
        <w:t xml:space="preserve"> </w:t>
      </w:r>
      <w:r>
        <w:t>dollars</w:t>
      </w:r>
      <w:r w:rsidR="002A3271">
        <w:t xml:space="preserve"> </w:t>
      </w:r>
      <w:r>
        <w:t>flow</w:t>
      </w:r>
      <w:r w:rsidR="002A3271">
        <w:t xml:space="preserve"> </w:t>
      </w:r>
      <w:r>
        <w:t>into</w:t>
      </w:r>
      <w:r w:rsidR="002A3271">
        <w:t xml:space="preserve"> </w:t>
      </w:r>
      <w:r>
        <w:t>the</w:t>
      </w:r>
      <w:r w:rsidR="002A3271">
        <w:t xml:space="preserve"> </w:t>
      </w:r>
      <w:r>
        <w:t>Victorian</w:t>
      </w:r>
      <w:r w:rsidR="002A3271">
        <w:t xml:space="preserve"> </w:t>
      </w:r>
      <w:r>
        <w:t>economy</w:t>
      </w:r>
      <w:r w:rsidR="002A3271">
        <w:t xml:space="preserve"> </w:t>
      </w:r>
      <w:r>
        <w:t>from</w:t>
      </w:r>
      <w:r w:rsidR="002A3271">
        <w:t xml:space="preserve"> </w:t>
      </w:r>
      <w:r>
        <w:t>across</w:t>
      </w:r>
      <w:r w:rsidR="002A3271">
        <w:t xml:space="preserve"> </w:t>
      </w:r>
      <w:r>
        <w:t>the</w:t>
      </w:r>
      <w:r w:rsidR="002A3271">
        <w:t xml:space="preserve"> </w:t>
      </w:r>
      <w:r>
        <w:t>globe.</w:t>
      </w:r>
      <w:r w:rsidR="002A3271">
        <w:t xml:space="preserve"> </w:t>
      </w:r>
      <w:r>
        <w:t>In</w:t>
      </w:r>
      <w:r w:rsidR="002A3271">
        <w:t xml:space="preserve"> </w:t>
      </w:r>
      <w:r>
        <w:t>2022-23,</w:t>
      </w:r>
      <w:r w:rsidR="002A3271">
        <w:t xml:space="preserve"> </w:t>
      </w:r>
      <w:r>
        <w:t>we</w:t>
      </w:r>
      <w:r w:rsidR="002A3271">
        <w:t xml:space="preserve"> </w:t>
      </w:r>
      <w:r>
        <w:t>attracted</w:t>
      </w:r>
      <w:r w:rsidR="002A3271">
        <w:t xml:space="preserve"> </w:t>
      </w:r>
      <w:r>
        <w:t>$4.3</w:t>
      </w:r>
      <w:r w:rsidR="002A3271">
        <w:t xml:space="preserve"> </w:t>
      </w:r>
      <w:r>
        <w:t>billion</w:t>
      </w:r>
      <w:r w:rsidR="002A3271">
        <w:t xml:space="preserve"> </w:t>
      </w:r>
      <w:r>
        <w:t>in</w:t>
      </w:r>
      <w:r w:rsidR="002A3271">
        <w:t xml:space="preserve"> </w:t>
      </w:r>
      <w:r>
        <w:t>overseas</w:t>
      </w:r>
      <w:r w:rsidR="002A3271">
        <w:t xml:space="preserve"> </w:t>
      </w:r>
      <w:r>
        <w:t>investment.</w:t>
      </w:r>
    </w:p>
    <w:p w14:paraId="1548780C" w14:textId="0257379F" w:rsidR="009B1E82" w:rsidRDefault="009B1E82" w:rsidP="00FA505C">
      <w:r>
        <w:t>Victoria</w:t>
      </w:r>
      <w:r w:rsidR="002A3271">
        <w:t xml:space="preserve"> </w:t>
      </w:r>
      <w:r>
        <w:t>was</w:t>
      </w:r>
      <w:r w:rsidR="002A3271">
        <w:t xml:space="preserve"> </w:t>
      </w:r>
      <w:r>
        <w:t>the</w:t>
      </w:r>
      <w:r w:rsidR="002A3271">
        <w:t xml:space="preserve"> </w:t>
      </w:r>
      <w:r>
        <w:t>leading</w:t>
      </w:r>
      <w:r w:rsidR="002A3271">
        <w:t xml:space="preserve"> </w:t>
      </w:r>
      <w:r>
        <w:t>Australian</w:t>
      </w:r>
      <w:r w:rsidR="002A3271">
        <w:t xml:space="preserve"> </w:t>
      </w:r>
      <w:r>
        <w:t>investment</w:t>
      </w:r>
      <w:r w:rsidR="002A3271">
        <w:t xml:space="preserve"> </w:t>
      </w:r>
      <w:r>
        <w:t>destination</w:t>
      </w:r>
      <w:r w:rsidR="002A3271">
        <w:t xml:space="preserve"> </w:t>
      </w:r>
      <w:r>
        <w:t>for</w:t>
      </w:r>
      <w:r w:rsidR="002A3271">
        <w:t xml:space="preserve"> </w:t>
      </w:r>
      <w:r>
        <w:t>advanced</w:t>
      </w:r>
      <w:r w:rsidR="002A3271">
        <w:t xml:space="preserve"> </w:t>
      </w:r>
      <w:r>
        <w:t>manufacturing</w:t>
      </w:r>
      <w:r w:rsidR="002A3271">
        <w:t xml:space="preserve"> </w:t>
      </w:r>
      <w:r>
        <w:t>products,</w:t>
      </w:r>
      <w:r w:rsidR="002A3271">
        <w:t xml:space="preserve"> </w:t>
      </w:r>
      <w:r>
        <w:t>with</w:t>
      </w:r>
      <w:r w:rsidR="002A3271">
        <w:t xml:space="preserve"> </w:t>
      </w:r>
      <w:r>
        <w:t>$588</w:t>
      </w:r>
      <w:r w:rsidR="002A3271">
        <w:t xml:space="preserve"> </w:t>
      </w:r>
      <w:r>
        <w:t>million</w:t>
      </w:r>
      <w:r w:rsidR="002A3271">
        <w:t xml:space="preserve"> </w:t>
      </w:r>
      <w:r>
        <w:t>in</w:t>
      </w:r>
      <w:r w:rsidR="002A3271">
        <w:t xml:space="preserve"> </w:t>
      </w:r>
      <w:r>
        <w:t>foreign</w:t>
      </w:r>
      <w:r w:rsidR="002A3271">
        <w:t xml:space="preserve"> </w:t>
      </w:r>
      <w:r>
        <w:t>direct</w:t>
      </w:r>
      <w:r w:rsidR="002A3271">
        <w:t xml:space="preserve"> </w:t>
      </w:r>
      <w:r>
        <w:t>investment,</w:t>
      </w:r>
      <w:r w:rsidR="002A3271">
        <w:t xml:space="preserve"> </w:t>
      </w:r>
      <w:r>
        <w:t>compared</w:t>
      </w:r>
      <w:r w:rsidR="002A3271">
        <w:t xml:space="preserve"> </w:t>
      </w:r>
      <w:r>
        <w:t>to</w:t>
      </w:r>
      <w:r w:rsidR="002A3271">
        <w:t xml:space="preserve"> </w:t>
      </w:r>
      <w:r>
        <w:t>$164</w:t>
      </w:r>
      <w:r w:rsidR="002A3271">
        <w:t xml:space="preserve"> </w:t>
      </w:r>
      <w:r>
        <w:t>million</w:t>
      </w:r>
      <w:r w:rsidR="002A3271">
        <w:t xml:space="preserve"> </w:t>
      </w:r>
      <w:r>
        <w:t>in</w:t>
      </w:r>
      <w:r w:rsidR="002A3271">
        <w:t xml:space="preserve"> </w:t>
      </w:r>
      <w:r>
        <w:t>New</w:t>
      </w:r>
      <w:r w:rsidR="002A3271">
        <w:t xml:space="preserve"> </w:t>
      </w:r>
      <w:r>
        <w:t>South</w:t>
      </w:r>
      <w:r w:rsidR="002A3271">
        <w:t xml:space="preserve"> </w:t>
      </w:r>
      <w:r>
        <w:t>Wales.</w:t>
      </w:r>
    </w:p>
    <w:p w14:paraId="183212AB" w14:textId="77B5385F" w:rsidR="009B1E82" w:rsidRDefault="009B1E82" w:rsidP="00FA505C">
      <w:r>
        <w:t>Our</w:t>
      </w:r>
      <w:r w:rsidR="002A3271">
        <w:t xml:space="preserve"> </w:t>
      </w:r>
      <w:r>
        <w:t>agri-food</w:t>
      </w:r>
      <w:r w:rsidR="002A3271">
        <w:t xml:space="preserve"> </w:t>
      </w:r>
      <w:r>
        <w:t>investment</w:t>
      </w:r>
      <w:r w:rsidR="002A3271">
        <w:t xml:space="preserve"> </w:t>
      </w:r>
      <w:r>
        <w:t>was</w:t>
      </w:r>
      <w:r w:rsidR="002A3271">
        <w:t xml:space="preserve"> </w:t>
      </w:r>
      <w:r>
        <w:t>worth</w:t>
      </w:r>
      <w:r w:rsidR="002A3271">
        <w:t xml:space="preserve"> </w:t>
      </w:r>
      <w:r>
        <w:t>$202</w:t>
      </w:r>
      <w:r w:rsidR="002A3271">
        <w:t xml:space="preserve"> </w:t>
      </w:r>
      <w:r>
        <w:t>million</w:t>
      </w:r>
      <w:r w:rsidR="002A3271">
        <w:t xml:space="preserve"> </w:t>
      </w:r>
      <w:r>
        <w:t>–</w:t>
      </w:r>
      <w:r w:rsidR="002A3271">
        <w:t xml:space="preserve"> </w:t>
      </w:r>
      <w:r>
        <w:t>the</w:t>
      </w:r>
      <w:r w:rsidR="002A3271">
        <w:t xml:space="preserve"> </w:t>
      </w:r>
      <w:r>
        <w:t>biggest</w:t>
      </w:r>
      <w:r w:rsidR="002A3271">
        <w:t xml:space="preserve"> </w:t>
      </w:r>
      <w:r>
        <w:t>anywhere</w:t>
      </w:r>
      <w:r w:rsidR="002A3271">
        <w:t xml:space="preserve"> </w:t>
      </w:r>
      <w:r>
        <w:t>in</w:t>
      </w:r>
      <w:r w:rsidR="002A3271">
        <w:t xml:space="preserve"> </w:t>
      </w:r>
      <w:r>
        <w:t>Australia.</w:t>
      </w:r>
    </w:p>
    <w:p w14:paraId="5402E756" w14:textId="1B70EB62" w:rsidR="009B1E82" w:rsidRDefault="009B1E82" w:rsidP="00FA505C">
      <w:r>
        <w:t>More</w:t>
      </w:r>
      <w:r w:rsidR="002A3271">
        <w:t xml:space="preserve"> </w:t>
      </w:r>
      <w:r>
        <w:t>than</w:t>
      </w:r>
      <w:r w:rsidR="002A3271">
        <w:t xml:space="preserve"> </w:t>
      </w:r>
      <w:r>
        <w:t>3.65</w:t>
      </w:r>
      <w:r w:rsidR="002A3271">
        <w:t xml:space="preserve"> </w:t>
      </w:r>
      <w:r>
        <w:t>million</w:t>
      </w:r>
      <w:r w:rsidR="002A3271">
        <w:t xml:space="preserve"> </w:t>
      </w:r>
      <w:r>
        <w:t>Victorians</w:t>
      </w:r>
      <w:r w:rsidR="002A3271">
        <w:t xml:space="preserve"> </w:t>
      </w:r>
      <w:r>
        <w:t>are</w:t>
      </w:r>
      <w:r w:rsidR="002A3271">
        <w:t xml:space="preserve"> </w:t>
      </w:r>
      <w:r>
        <w:t>in</w:t>
      </w:r>
      <w:r w:rsidR="002A3271">
        <w:t xml:space="preserve"> </w:t>
      </w:r>
      <w:r>
        <w:t>work.</w:t>
      </w:r>
      <w:r w:rsidR="002A3271">
        <w:t xml:space="preserve"> </w:t>
      </w:r>
      <w:r>
        <w:t>In</w:t>
      </w:r>
      <w:r w:rsidR="002A3271">
        <w:t xml:space="preserve"> </w:t>
      </w:r>
      <w:r>
        <w:t>August</w:t>
      </w:r>
      <w:r w:rsidR="002A3271">
        <w:t xml:space="preserve"> </w:t>
      </w:r>
      <w:r>
        <w:t>our</w:t>
      </w:r>
      <w:r w:rsidR="002A3271">
        <w:t xml:space="preserve"> </w:t>
      </w:r>
      <w:r>
        <w:t>unemployment</w:t>
      </w:r>
      <w:r w:rsidR="002A3271">
        <w:t xml:space="preserve"> </w:t>
      </w:r>
      <w:r>
        <w:t>rate</w:t>
      </w:r>
      <w:r w:rsidR="002A3271">
        <w:t xml:space="preserve"> </w:t>
      </w:r>
      <w:r>
        <w:t>fell</w:t>
      </w:r>
      <w:r w:rsidR="002A3271">
        <w:t xml:space="preserve"> </w:t>
      </w:r>
      <w:r>
        <w:t>to</w:t>
      </w:r>
      <w:r w:rsidR="002A3271">
        <w:t xml:space="preserve"> </w:t>
      </w:r>
      <w:r>
        <w:t>the</w:t>
      </w:r>
      <w:r w:rsidR="002A3271">
        <w:t xml:space="preserve"> </w:t>
      </w:r>
      <w:r>
        <w:t>lowest</w:t>
      </w:r>
      <w:r w:rsidR="002A3271">
        <w:t xml:space="preserve"> </w:t>
      </w:r>
      <w:r>
        <w:t>in</w:t>
      </w:r>
      <w:r w:rsidR="002A3271">
        <w:t xml:space="preserve"> </w:t>
      </w:r>
      <w:r>
        <w:t>the</w:t>
      </w:r>
      <w:r w:rsidR="002A3271">
        <w:t xml:space="preserve"> </w:t>
      </w:r>
      <w:r>
        <w:t>country.</w:t>
      </w:r>
    </w:p>
    <w:p w14:paraId="0E71B772" w14:textId="2EE98AB5" w:rsidR="009B1E82" w:rsidRDefault="009B1E82" w:rsidP="00FA505C">
      <w:r>
        <w:t>Unemployment</w:t>
      </w:r>
      <w:r w:rsidR="002A3271">
        <w:t xml:space="preserve"> </w:t>
      </w:r>
      <w:r>
        <w:t>is</w:t>
      </w:r>
      <w:r w:rsidR="002A3271">
        <w:t xml:space="preserve"> </w:t>
      </w:r>
      <w:r>
        <w:t>expected</w:t>
      </w:r>
      <w:r w:rsidR="002A3271">
        <w:t xml:space="preserve"> </w:t>
      </w:r>
      <w:r>
        <w:t>to</w:t>
      </w:r>
      <w:r w:rsidR="002A3271">
        <w:t xml:space="preserve"> </w:t>
      </w:r>
      <w:r>
        <w:t>stay</w:t>
      </w:r>
      <w:r w:rsidR="002A3271">
        <w:t xml:space="preserve"> </w:t>
      </w:r>
      <w:r>
        <w:t>low,</w:t>
      </w:r>
      <w:r w:rsidR="002A3271">
        <w:t xml:space="preserve"> </w:t>
      </w:r>
      <w:r>
        <w:t>offering</w:t>
      </w:r>
      <w:r w:rsidR="002A3271">
        <w:t xml:space="preserve"> </w:t>
      </w:r>
      <w:r>
        <w:t>stability</w:t>
      </w:r>
      <w:r w:rsidR="002A3271">
        <w:t xml:space="preserve"> </w:t>
      </w:r>
      <w:r>
        <w:t>and</w:t>
      </w:r>
      <w:r w:rsidR="002A3271">
        <w:t xml:space="preserve"> </w:t>
      </w:r>
      <w:r>
        <w:t>opportunity</w:t>
      </w:r>
      <w:r w:rsidR="002A3271">
        <w:t xml:space="preserve"> </w:t>
      </w:r>
      <w:r>
        <w:t>to</w:t>
      </w:r>
      <w:r w:rsidR="002A3271">
        <w:t xml:space="preserve"> </w:t>
      </w:r>
      <w:r>
        <w:t>even</w:t>
      </w:r>
      <w:r w:rsidR="002A3271">
        <w:t xml:space="preserve"> </w:t>
      </w:r>
      <w:r>
        <w:t>more</w:t>
      </w:r>
      <w:r w:rsidR="002A3271">
        <w:t xml:space="preserve"> </w:t>
      </w:r>
      <w:r>
        <w:t>Victorians.</w:t>
      </w:r>
    </w:p>
    <w:p w14:paraId="3B9744CA" w14:textId="5D89D5D0" w:rsidR="009B1E82" w:rsidRDefault="009B1E82" w:rsidP="00FA505C">
      <w:r>
        <w:t>The</w:t>
      </w:r>
      <w:r w:rsidR="002A3271">
        <w:t xml:space="preserve"> </w:t>
      </w:r>
      <w:r>
        <w:t>Victorian</w:t>
      </w:r>
      <w:r w:rsidR="002A3271">
        <w:t xml:space="preserve"> </w:t>
      </w:r>
      <w:r>
        <w:t>economy</w:t>
      </w:r>
      <w:r w:rsidR="002A3271">
        <w:t xml:space="preserve"> </w:t>
      </w:r>
      <w:r>
        <w:t>has</w:t>
      </w:r>
      <w:r w:rsidR="002A3271">
        <w:t xml:space="preserve"> </w:t>
      </w:r>
      <w:r>
        <w:t>recovered</w:t>
      </w:r>
      <w:r w:rsidR="002A3271">
        <w:t xml:space="preserve"> </w:t>
      </w:r>
      <w:r>
        <w:t>in</w:t>
      </w:r>
      <w:r w:rsidR="002A3271">
        <w:t xml:space="preserve"> </w:t>
      </w:r>
      <w:r>
        <w:t>a</w:t>
      </w:r>
      <w:r w:rsidR="002A3271">
        <w:t xml:space="preserve"> </w:t>
      </w:r>
      <w:r>
        <w:t>sure</w:t>
      </w:r>
      <w:r w:rsidR="002A3271">
        <w:t xml:space="preserve"> </w:t>
      </w:r>
      <w:r>
        <w:t>and</w:t>
      </w:r>
      <w:r w:rsidR="002A3271">
        <w:t xml:space="preserve"> </w:t>
      </w:r>
      <w:r>
        <w:t>sustainable</w:t>
      </w:r>
      <w:r w:rsidR="002A3271">
        <w:t xml:space="preserve"> </w:t>
      </w:r>
      <w:r>
        <w:t>way</w:t>
      </w:r>
      <w:r w:rsidR="002A3271">
        <w:t xml:space="preserve"> </w:t>
      </w:r>
      <w:r>
        <w:t>from</w:t>
      </w:r>
      <w:r w:rsidR="002A3271">
        <w:t xml:space="preserve"> </w:t>
      </w:r>
      <w:r>
        <w:t>the</w:t>
      </w:r>
      <w:r w:rsidR="002A3271">
        <w:t xml:space="preserve"> </w:t>
      </w:r>
      <w:r>
        <w:t>shock</w:t>
      </w:r>
      <w:r w:rsidR="002A3271">
        <w:t xml:space="preserve"> </w:t>
      </w:r>
      <w:r>
        <w:t>of</w:t>
      </w:r>
      <w:r w:rsidR="002A3271">
        <w:t xml:space="preserve"> </w:t>
      </w:r>
      <w:r>
        <w:t>the</w:t>
      </w:r>
      <w:r w:rsidR="002A3271">
        <w:t xml:space="preserve"> </w:t>
      </w:r>
      <w:r>
        <w:t>pandemic,</w:t>
      </w:r>
      <w:r w:rsidR="002A3271">
        <w:t xml:space="preserve"> </w:t>
      </w:r>
      <w:r>
        <w:t>increasing</w:t>
      </w:r>
      <w:r w:rsidR="002A3271">
        <w:t xml:space="preserve"> </w:t>
      </w:r>
      <w:r>
        <w:t>by</w:t>
      </w:r>
      <w:r w:rsidR="002A3271">
        <w:t xml:space="preserve"> </w:t>
      </w:r>
      <w:r>
        <w:t>more</w:t>
      </w:r>
      <w:r w:rsidR="002A3271">
        <w:t xml:space="preserve"> </w:t>
      </w:r>
      <w:r>
        <w:t>than</w:t>
      </w:r>
      <w:r w:rsidR="002A3271">
        <w:t xml:space="preserve"> </w:t>
      </w:r>
      <w:r>
        <w:t>500,000</w:t>
      </w:r>
      <w:r w:rsidR="002A3271">
        <w:t xml:space="preserve"> </w:t>
      </w:r>
      <w:r>
        <w:t>jobs</w:t>
      </w:r>
      <w:r w:rsidR="002A3271">
        <w:t xml:space="preserve"> </w:t>
      </w:r>
      <w:r>
        <w:t>since</w:t>
      </w:r>
      <w:r w:rsidR="002A3271">
        <w:t xml:space="preserve"> </w:t>
      </w:r>
      <w:r>
        <w:t>September</w:t>
      </w:r>
      <w:r w:rsidR="002A3271">
        <w:t xml:space="preserve"> </w:t>
      </w:r>
      <w:r>
        <w:t>2020.</w:t>
      </w:r>
      <w:r w:rsidR="002A3271">
        <w:t xml:space="preserve"> </w:t>
      </w:r>
      <w:r>
        <w:t>That</w:t>
      </w:r>
      <w:r w:rsidR="002A3271">
        <w:t xml:space="preserve"> </w:t>
      </w:r>
      <w:r>
        <w:t>is</w:t>
      </w:r>
      <w:r w:rsidR="002A3271">
        <w:t xml:space="preserve"> </w:t>
      </w:r>
      <w:r>
        <w:t>115,000</w:t>
      </w:r>
      <w:r w:rsidR="002A3271">
        <w:t xml:space="preserve"> </w:t>
      </w:r>
      <w:r>
        <w:t>more</w:t>
      </w:r>
      <w:r w:rsidR="002A3271">
        <w:t xml:space="preserve"> </w:t>
      </w:r>
      <w:r>
        <w:t>new</w:t>
      </w:r>
      <w:r w:rsidR="002A3271">
        <w:t xml:space="preserve"> </w:t>
      </w:r>
      <w:r>
        <w:t>jobs</w:t>
      </w:r>
      <w:r w:rsidR="002A3271">
        <w:t xml:space="preserve"> </w:t>
      </w:r>
      <w:r>
        <w:t>than</w:t>
      </w:r>
      <w:r w:rsidR="002A3271">
        <w:t xml:space="preserve"> </w:t>
      </w:r>
      <w:r>
        <w:t>the</w:t>
      </w:r>
      <w:r w:rsidR="002A3271">
        <w:t xml:space="preserve"> </w:t>
      </w:r>
      <w:r>
        <w:t>second</w:t>
      </w:r>
      <w:r w:rsidR="002A3271">
        <w:t xml:space="preserve"> </w:t>
      </w:r>
      <w:r>
        <w:t>ranked</w:t>
      </w:r>
      <w:r w:rsidR="002A3271">
        <w:t xml:space="preserve"> </w:t>
      </w:r>
      <w:r>
        <w:t>state</w:t>
      </w:r>
      <w:r w:rsidR="002A3271">
        <w:t xml:space="preserve"> </w:t>
      </w:r>
      <w:r>
        <w:t>–</w:t>
      </w:r>
      <w:r w:rsidR="002A3271">
        <w:t xml:space="preserve"> </w:t>
      </w:r>
      <w:r>
        <w:t>New</w:t>
      </w:r>
      <w:r w:rsidR="002A3271">
        <w:t xml:space="preserve"> </w:t>
      </w:r>
      <w:r>
        <w:t>South</w:t>
      </w:r>
      <w:r w:rsidR="002A3271">
        <w:t xml:space="preserve"> </w:t>
      </w:r>
      <w:r>
        <w:t>Wales.</w:t>
      </w:r>
    </w:p>
    <w:p w14:paraId="3536D1F3" w14:textId="27B07208" w:rsidR="009B1E82" w:rsidRDefault="009B1E82" w:rsidP="00FA505C">
      <w:r>
        <w:t>Our</w:t>
      </w:r>
      <w:r w:rsidR="002A3271">
        <w:t xml:space="preserve"> </w:t>
      </w:r>
      <w:r>
        <w:t>economic</w:t>
      </w:r>
      <w:r w:rsidR="002A3271">
        <w:t xml:space="preserve"> </w:t>
      </w:r>
      <w:r>
        <w:t>outlook</w:t>
      </w:r>
      <w:r w:rsidR="002A3271">
        <w:t xml:space="preserve"> </w:t>
      </w:r>
      <w:r>
        <w:t>is</w:t>
      </w:r>
      <w:r w:rsidR="002A3271">
        <w:t xml:space="preserve"> </w:t>
      </w:r>
      <w:r>
        <w:t>the</w:t>
      </w:r>
      <w:r w:rsidR="002A3271">
        <w:t xml:space="preserve"> </w:t>
      </w:r>
      <w:r>
        <w:t>most</w:t>
      </w:r>
      <w:r w:rsidR="002A3271">
        <w:t xml:space="preserve"> </w:t>
      </w:r>
      <w:r>
        <w:t>robust</w:t>
      </w:r>
      <w:r w:rsidR="002A3271">
        <w:t xml:space="preserve"> </w:t>
      </w:r>
      <w:r>
        <w:t>of</w:t>
      </w:r>
      <w:r w:rsidR="002A3271">
        <w:t xml:space="preserve"> </w:t>
      </w:r>
      <w:r>
        <w:t>all</w:t>
      </w:r>
      <w:r w:rsidR="002A3271">
        <w:t xml:space="preserve"> </w:t>
      </w:r>
      <w:r>
        <w:t>the</w:t>
      </w:r>
      <w:r w:rsidR="002A3271">
        <w:t xml:space="preserve"> </w:t>
      </w:r>
      <w:r>
        <w:t>states</w:t>
      </w:r>
      <w:r w:rsidR="002A3271">
        <w:t xml:space="preserve"> </w:t>
      </w:r>
      <w:r>
        <w:t>–</w:t>
      </w:r>
      <w:r w:rsidR="002A3271">
        <w:t xml:space="preserve"> </w:t>
      </w:r>
      <w:r>
        <w:t>Deloitte</w:t>
      </w:r>
      <w:r w:rsidR="002A3271">
        <w:t xml:space="preserve"> </w:t>
      </w:r>
      <w:r>
        <w:t>Access</w:t>
      </w:r>
      <w:r w:rsidR="002A3271">
        <w:t xml:space="preserve"> </w:t>
      </w:r>
      <w:r>
        <w:t>Economics</w:t>
      </w:r>
      <w:r w:rsidR="002A3271">
        <w:t xml:space="preserve"> </w:t>
      </w:r>
      <w:r>
        <w:t>forecasts</w:t>
      </w:r>
      <w:r w:rsidR="002A3271">
        <w:t xml:space="preserve"> </w:t>
      </w:r>
      <w:r>
        <w:t>that</w:t>
      </w:r>
      <w:r w:rsidR="002A3271">
        <w:t xml:space="preserve"> </w:t>
      </w:r>
      <w:r>
        <w:t>our</w:t>
      </w:r>
      <w:r w:rsidR="002A3271">
        <w:t xml:space="preserve"> </w:t>
      </w:r>
      <w:r>
        <w:t>economy</w:t>
      </w:r>
      <w:r w:rsidR="002A3271">
        <w:t xml:space="preserve"> </w:t>
      </w:r>
      <w:r>
        <w:t>will</w:t>
      </w:r>
      <w:r w:rsidR="002A3271">
        <w:t xml:space="preserve"> </w:t>
      </w:r>
      <w:r>
        <w:t>grow</w:t>
      </w:r>
      <w:r w:rsidR="002A3271">
        <w:t xml:space="preserve"> </w:t>
      </w:r>
      <w:r>
        <w:t>by</w:t>
      </w:r>
      <w:r w:rsidR="002A3271">
        <w:t xml:space="preserve"> </w:t>
      </w:r>
      <w:r>
        <w:t>a</w:t>
      </w:r>
      <w:r w:rsidR="002A3271">
        <w:t xml:space="preserve"> </w:t>
      </w:r>
      <w:r>
        <w:t>nation-leading</w:t>
      </w:r>
      <w:r w:rsidR="002A3271">
        <w:t xml:space="preserve"> </w:t>
      </w:r>
      <w:r>
        <w:t>3.1%</w:t>
      </w:r>
      <w:r w:rsidR="002A3271">
        <w:t xml:space="preserve"> </w:t>
      </w:r>
      <w:r>
        <w:t>over</w:t>
      </w:r>
      <w:r w:rsidR="002A3271">
        <w:t xml:space="preserve"> </w:t>
      </w:r>
      <w:r>
        <w:t>the</w:t>
      </w:r>
      <w:r w:rsidR="002A3271">
        <w:t xml:space="preserve"> </w:t>
      </w:r>
      <w:r>
        <w:t>next</w:t>
      </w:r>
      <w:r w:rsidR="002A3271">
        <w:t xml:space="preserve"> </w:t>
      </w:r>
      <w:r>
        <w:t>two</w:t>
      </w:r>
      <w:r w:rsidR="002A3271">
        <w:t xml:space="preserve"> </w:t>
      </w:r>
      <w:r>
        <w:t>years.</w:t>
      </w:r>
    </w:p>
    <w:p w14:paraId="13212595" w14:textId="0DF45DDA" w:rsidR="009B1E82" w:rsidRDefault="009B1E82" w:rsidP="00FA505C">
      <w:r>
        <w:t>We</w:t>
      </w:r>
      <w:r w:rsidR="002A3271">
        <w:t xml:space="preserve"> </w:t>
      </w:r>
      <w:r>
        <w:t>are</w:t>
      </w:r>
      <w:r w:rsidR="002A3271">
        <w:t xml:space="preserve"> </w:t>
      </w:r>
      <w:r>
        <w:t>building</w:t>
      </w:r>
      <w:r w:rsidR="002A3271">
        <w:t xml:space="preserve"> </w:t>
      </w:r>
      <w:r>
        <w:t>the</w:t>
      </w:r>
      <w:r w:rsidR="002A3271">
        <w:t xml:space="preserve"> </w:t>
      </w:r>
      <w:r>
        <w:t>infrastructure</w:t>
      </w:r>
      <w:r w:rsidR="002A3271">
        <w:t xml:space="preserve"> </w:t>
      </w:r>
      <w:r>
        <w:t>our</w:t>
      </w:r>
      <w:r w:rsidR="002A3271">
        <w:t xml:space="preserve"> </w:t>
      </w:r>
      <w:r>
        <w:t>growing</w:t>
      </w:r>
      <w:r w:rsidR="002A3271">
        <w:t xml:space="preserve"> </w:t>
      </w:r>
      <w:r>
        <w:t>state</w:t>
      </w:r>
      <w:r w:rsidR="002A3271">
        <w:t xml:space="preserve"> </w:t>
      </w:r>
      <w:r>
        <w:t>needs.</w:t>
      </w:r>
      <w:r w:rsidR="002A3271">
        <w:t xml:space="preserve"> </w:t>
      </w:r>
      <w:r>
        <w:t>Whether</w:t>
      </w:r>
      <w:r w:rsidR="002A3271">
        <w:t xml:space="preserve"> </w:t>
      </w:r>
      <w:r>
        <w:t>it’s</w:t>
      </w:r>
      <w:r w:rsidR="002A3271">
        <w:t xml:space="preserve"> </w:t>
      </w:r>
      <w:r>
        <w:t>the</w:t>
      </w:r>
      <w:r w:rsidR="002A3271">
        <w:t xml:space="preserve"> </w:t>
      </w:r>
      <w:r>
        <w:t>Metro</w:t>
      </w:r>
      <w:r w:rsidR="002A3271">
        <w:t xml:space="preserve"> </w:t>
      </w:r>
      <w:r>
        <w:t>Tunnel,</w:t>
      </w:r>
      <w:r w:rsidR="002A3271">
        <w:t xml:space="preserve"> </w:t>
      </w:r>
      <w:r>
        <w:t>the</w:t>
      </w:r>
      <w:r w:rsidR="002A3271">
        <w:t xml:space="preserve"> </w:t>
      </w:r>
      <w:r>
        <w:t>North</w:t>
      </w:r>
      <w:r w:rsidR="002A3271">
        <w:t xml:space="preserve"> </w:t>
      </w:r>
      <w:r>
        <w:t>East</w:t>
      </w:r>
      <w:r w:rsidR="002A3271">
        <w:t xml:space="preserve"> </w:t>
      </w:r>
      <w:r>
        <w:t>Link,</w:t>
      </w:r>
      <w:r w:rsidR="002A3271">
        <w:t xml:space="preserve"> </w:t>
      </w:r>
      <w:r>
        <w:t>the</w:t>
      </w:r>
      <w:r w:rsidR="002A3271">
        <w:t xml:space="preserve"> </w:t>
      </w:r>
      <w:r>
        <w:t>Suburban</w:t>
      </w:r>
      <w:r w:rsidR="002A3271">
        <w:t xml:space="preserve"> </w:t>
      </w:r>
      <w:r>
        <w:t>Rail</w:t>
      </w:r>
      <w:r w:rsidR="002A3271">
        <w:t xml:space="preserve"> </w:t>
      </w:r>
      <w:r>
        <w:t>Loop</w:t>
      </w:r>
      <w:r w:rsidR="002A3271">
        <w:t xml:space="preserve"> </w:t>
      </w:r>
      <w:r>
        <w:t>or</w:t>
      </w:r>
      <w:r w:rsidR="002A3271">
        <w:t xml:space="preserve"> </w:t>
      </w:r>
      <w:r>
        <w:t>level</w:t>
      </w:r>
      <w:r w:rsidR="002A3271">
        <w:t xml:space="preserve"> </w:t>
      </w:r>
      <w:r>
        <w:t>crossing</w:t>
      </w:r>
      <w:r w:rsidR="002A3271">
        <w:t xml:space="preserve"> </w:t>
      </w:r>
      <w:r>
        <w:t>removals,</w:t>
      </w:r>
      <w:r w:rsidR="002A3271">
        <w:t xml:space="preserve"> </w:t>
      </w:r>
      <w:r>
        <w:t>we</w:t>
      </w:r>
      <w:r w:rsidR="002A3271">
        <w:t xml:space="preserve"> </w:t>
      </w:r>
      <w:r>
        <w:t>are</w:t>
      </w:r>
      <w:r w:rsidR="002A3271">
        <w:t xml:space="preserve"> </w:t>
      </w:r>
      <w:r>
        <w:t>helping</w:t>
      </w:r>
      <w:r w:rsidR="002A3271">
        <w:t xml:space="preserve"> </w:t>
      </w:r>
      <w:r>
        <w:t>Victorians</w:t>
      </w:r>
      <w:r w:rsidR="002A3271">
        <w:t xml:space="preserve"> </w:t>
      </w:r>
      <w:r>
        <w:t>get</w:t>
      </w:r>
      <w:r w:rsidR="002A3271">
        <w:t xml:space="preserve"> </w:t>
      </w:r>
      <w:r>
        <w:t>home</w:t>
      </w:r>
      <w:r w:rsidR="002A3271">
        <w:t xml:space="preserve"> </w:t>
      </w:r>
      <w:r>
        <w:t>sooner</w:t>
      </w:r>
      <w:r w:rsidR="002A3271">
        <w:t xml:space="preserve"> </w:t>
      </w:r>
      <w:r>
        <w:t>and</w:t>
      </w:r>
      <w:r w:rsidR="002A3271">
        <w:t xml:space="preserve"> </w:t>
      </w:r>
      <w:r>
        <w:t>safer.</w:t>
      </w:r>
    </w:p>
    <w:p w14:paraId="79AB717C" w14:textId="13CC2891" w:rsidR="009B1E82" w:rsidRDefault="009B1E82" w:rsidP="00FA505C">
      <w:r>
        <w:t>There’s</w:t>
      </w:r>
      <w:r w:rsidR="002A3271">
        <w:t xml:space="preserve"> </w:t>
      </w:r>
      <w:r>
        <w:t>no</w:t>
      </w:r>
      <w:r w:rsidR="002A3271">
        <w:t xml:space="preserve"> </w:t>
      </w:r>
      <w:r>
        <w:t>bigger</w:t>
      </w:r>
      <w:r w:rsidR="002A3271">
        <w:t xml:space="preserve"> </w:t>
      </w:r>
      <w:r>
        <w:t>challenge</w:t>
      </w:r>
      <w:r w:rsidR="002A3271">
        <w:t xml:space="preserve"> </w:t>
      </w:r>
      <w:r>
        <w:t>facing</w:t>
      </w:r>
      <w:r w:rsidR="002A3271">
        <w:t xml:space="preserve"> </w:t>
      </w:r>
      <w:r>
        <w:t>Victorians</w:t>
      </w:r>
      <w:r w:rsidR="002A3271">
        <w:t xml:space="preserve"> </w:t>
      </w:r>
      <w:r>
        <w:t>right</w:t>
      </w:r>
      <w:r w:rsidR="002A3271">
        <w:t xml:space="preserve"> </w:t>
      </w:r>
      <w:r>
        <w:t>now</w:t>
      </w:r>
      <w:r w:rsidR="002A3271">
        <w:t xml:space="preserve"> </w:t>
      </w:r>
      <w:r>
        <w:t>than</w:t>
      </w:r>
      <w:r w:rsidR="002A3271">
        <w:t xml:space="preserve"> </w:t>
      </w:r>
      <w:r>
        <w:t>housing</w:t>
      </w:r>
      <w:r w:rsidR="002A3271">
        <w:t xml:space="preserve"> </w:t>
      </w:r>
      <w:r>
        <w:t>affordability.</w:t>
      </w:r>
      <w:r w:rsidR="002A3271">
        <w:t xml:space="preserve"> </w:t>
      </w:r>
      <w:r>
        <w:t>That’s</w:t>
      </w:r>
      <w:r w:rsidR="002A3271">
        <w:t xml:space="preserve"> </w:t>
      </w:r>
      <w:r>
        <w:t>why</w:t>
      </w:r>
      <w:r w:rsidR="002A3271">
        <w:t xml:space="preserve"> </w:t>
      </w:r>
      <w:r>
        <w:t>we’ll</w:t>
      </w:r>
      <w:r w:rsidR="002A3271">
        <w:t xml:space="preserve"> </w:t>
      </w:r>
      <w:r>
        <w:t>build</w:t>
      </w:r>
      <w:r w:rsidR="002A3271">
        <w:t xml:space="preserve"> </w:t>
      </w:r>
      <w:r>
        <w:t>more</w:t>
      </w:r>
      <w:r w:rsidR="002A3271">
        <w:t xml:space="preserve"> </w:t>
      </w:r>
      <w:r>
        <w:t>homes</w:t>
      </w:r>
      <w:r w:rsidR="002A3271">
        <w:t xml:space="preserve"> </w:t>
      </w:r>
      <w:r>
        <w:t>to</w:t>
      </w:r>
      <w:r w:rsidR="002A3271">
        <w:t xml:space="preserve"> </w:t>
      </w:r>
      <w:r>
        <w:t>make</w:t>
      </w:r>
      <w:r w:rsidR="002A3271">
        <w:t xml:space="preserve"> </w:t>
      </w:r>
      <w:r>
        <w:t>housing</w:t>
      </w:r>
      <w:r w:rsidR="002A3271">
        <w:t xml:space="preserve"> </w:t>
      </w:r>
      <w:r>
        <w:t>more</w:t>
      </w:r>
      <w:r w:rsidR="002A3271">
        <w:t xml:space="preserve"> </w:t>
      </w:r>
      <w:r>
        <w:t>affordable.</w:t>
      </w:r>
      <w:r w:rsidR="002A3271">
        <w:t xml:space="preserve"> </w:t>
      </w:r>
      <w:r>
        <w:t>Our</w:t>
      </w:r>
      <w:r w:rsidR="002A3271">
        <w:t xml:space="preserve"> </w:t>
      </w:r>
      <w:r>
        <w:t>Housing</w:t>
      </w:r>
      <w:r w:rsidR="002A3271">
        <w:t xml:space="preserve"> </w:t>
      </w:r>
      <w:r>
        <w:t>Statement</w:t>
      </w:r>
      <w:r w:rsidR="002A3271">
        <w:t xml:space="preserve"> </w:t>
      </w:r>
      <w:r>
        <w:t>outlines</w:t>
      </w:r>
      <w:r w:rsidR="002A3271">
        <w:t xml:space="preserve"> </w:t>
      </w:r>
      <w:r>
        <w:t>our</w:t>
      </w:r>
      <w:r w:rsidR="002A3271">
        <w:t xml:space="preserve"> </w:t>
      </w:r>
      <w:r>
        <w:t>plan</w:t>
      </w:r>
      <w:r w:rsidR="002A3271">
        <w:t xml:space="preserve"> </w:t>
      </w:r>
      <w:r>
        <w:t>to</w:t>
      </w:r>
      <w:r w:rsidR="002A3271">
        <w:t xml:space="preserve"> </w:t>
      </w:r>
      <w:r>
        <w:t>build</w:t>
      </w:r>
      <w:r w:rsidR="002A3271">
        <w:t xml:space="preserve"> </w:t>
      </w:r>
      <w:r>
        <w:t>800,000</w:t>
      </w:r>
      <w:r w:rsidR="002A3271">
        <w:t xml:space="preserve"> </w:t>
      </w:r>
      <w:r>
        <w:t>more</w:t>
      </w:r>
      <w:r w:rsidR="002A3271">
        <w:t xml:space="preserve"> </w:t>
      </w:r>
      <w:r>
        <w:t>homes</w:t>
      </w:r>
      <w:r w:rsidR="002A3271">
        <w:t xml:space="preserve"> </w:t>
      </w:r>
      <w:r>
        <w:t>over</w:t>
      </w:r>
      <w:r w:rsidR="002A3271">
        <w:t xml:space="preserve"> </w:t>
      </w:r>
      <w:r>
        <w:t>the</w:t>
      </w:r>
      <w:r w:rsidR="002A3271">
        <w:t xml:space="preserve"> </w:t>
      </w:r>
      <w:r>
        <w:t>next</w:t>
      </w:r>
      <w:r w:rsidR="002A3271">
        <w:t xml:space="preserve"> </w:t>
      </w:r>
      <w:r>
        <w:t>decade</w:t>
      </w:r>
      <w:r w:rsidR="002A3271">
        <w:t xml:space="preserve"> </w:t>
      </w:r>
      <w:r>
        <w:t>–</w:t>
      </w:r>
      <w:r w:rsidR="002A3271">
        <w:t xml:space="preserve"> </w:t>
      </w:r>
      <w:r>
        <w:t>so</w:t>
      </w:r>
      <w:r w:rsidR="002A3271">
        <w:t xml:space="preserve"> </w:t>
      </w:r>
      <w:r>
        <w:t>that</w:t>
      </w:r>
      <w:r w:rsidR="002A3271">
        <w:t xml:space="preserve"> </w:t>
      </w:r>
      <w:r>
        <w:t>every</w:t>
      </w:r>
      <w:r w:rsidR="002A3271">
        <w:t xml:space="preserve"> </w:t>
      </w:r>
      <w:r>
        <w:t>Victorian</w:t>
      </w:r>
      <w:r w:rsidR="002A3271">
        <w:t xml:space="preserve"> </w:t>
      </w:r>
      <w:r>
        <w:t>can</w:t>
      </w:r>
      <w:r w:rsidR="002A3271">
        <w:t xml:space="preserve"> </w:t>
      </w:r>
      <w:r>
        <w:t>find</w:t>
      </w:r>
      <w:r w:rsidR="002A3271">
        <w:t xml:space="preserve"> </w:t>
      </w:r>
      <w:r>
        <w:t>a</w:t>
      </w:r>
      <w:r w:rsidR="002A3271">
        <w:t xml:space="preserve"> </w:t>
      </w:r>
      <w:r>
        <w:t>place</w:t>
      </w:r>
      <w:r w:rsidR="002A3271">
        <w:t xml:space="preserve"> </w:t>
      </w:r>
      <w:r>
        <w:t>to</w:t>
      </w:r>
      <w:r w:rsidR="002A3271">
        <w:t xml:space="preserve"> </w:t>
      </w:r>
      <w:r>
        <w:t>call</w:t>
      </w:r>
      <w:r w:rsidR="002A3271">
        <w:t xml:space="preserve"> </w:t>
      </w:r>
      <w:r>
        <w:t>home.</w:t>
      </w:r>
    </w:p>
    <w:p w14:paraId="412D9044" w14:textId="0A1C69B0" w:rsidR="009B1E82" w:rsidRDefault="009B1E82" w:rsidP="00FA505C">
      <w:r>
        <w:lastRenderedPageBreak/>
        <w:t>We’re</w:t>
      </w:r>
      <w:r w:rsidR="002A3271">
        <w:t xml:space="preserve"> </w:t>
      </w:r>
      <w:r>
        <w:t>building</w:t>
      </w:r>
      <w:r w:rsidR="002A3271">
        <w:t xml:space="preserve"> </w:t>
      </w:r>
      <w:r>
        <w:t>better</w:t>
      </w:r>
      <w:r w:rsidR="002A3271">
        <w:t xml:space="preserve"> </w:t>
      </w:r>
      <w:r>
        <w:t>hospitals</w:t>
      </w:r>
      <w:r w:rsidR="002A3271">
        <w:t xml:space="preserve"> </w:t>
      </w:r>
      <w:r>
        <w:t>and</w:t>
      </w:r>
      <w:r w:rsidR="002A3271">
        <w:t xml:space="preserve"> </w:t>
      </w:r>
      <w:r>
        <w:t>world-class</w:t>
      </w:r>
      <w:r w:rsidR="002A3271">
        <w:t xml:space="preserve"> </w:t>
      </w:r>
      <w:r>
        <w:t>schools.</w:t>
      </w:r>
      <w:r w:rsidR="002A3271">
        <w:t xml:space="preserve"> </w:t>
      </w:r>
      <w:r>
        <w:t>And</w:t>
      </w:r>
      <w:r w:rsidR="002A3271">
        <w:t xml:space="preserve"> </w:t>
      </w:r>
      <w:r>
        <w:t>we’re</w:t>
      </w:r>
      <w:r w:rsidR="002A3271">
        <w:t xml:space="preserve"> </w:t>
      </w:r>
      <w:r>
        <w:t>delivering</w:t>
      </w:r>
      <w:r w:rsidR="002A3271">
        <w:t xml:space="preserve"> </w:t>
      </w:r>
      <w:r>
        <w:t>an</w:t>
      </w:r>
      <w:r w:rsidR="002A3271">
        <w:t xml:space="preserve"> </w:t>
      </w:r>
      <w:r>
        <w:t>ambitious</w:t>
      </w:r>
      <w:r w:rsidR="002A3271">
        <w:t xml:space="preserve"> </w:t>
      </w:r>
      <w:r>
        <w:t>reform</w:t>
      </w:r>
      <w:r w:rsidR="002A3271">
        <w:t xml:space="preserve"> </w:t>
      </w:r>
      <w:r>
        <w:t>to</w:t>
      </w:r>
      <w:r w:rsidR="002A3271">
        <w:t xml:space="preserve"> </w:t>
      </w:r>
      <w:r>
        <w:t>early</w:t>
      </w:r>
      <w:r w:rsidR="002A3271">
        <w:t xml:space="preserve"> </w:t>
      </w:r>
      <w:r>
        <w:t>childhood</w:t>
      </w:r>
      <w:r w:rsidR="002A3271">
        <w:t xml:space="preserve"> </w:t>
      </w:r>
      <w:r>
        <w:t>education,</w:t>
      </w:r>
      <w:r w:rsidR="002A3271">
        <w:t xml:space="preserve"> </w:t>
      </w:r>
      <w:r>
        <w:t>to</w:t>
      </w:r>
      <w:r w:rsidR="002A3271">
        <w:t xml:space="preserve"> </w:t>
      </w:r>
      <w:r>
        <w:t>ensure</w:t>
      </w:r>
      <w:r w:rsidR="002A3271">
        <w:t xml:space="preserve"> </w:t>
      </w:r>
      <w:r>
        <w:t>the</w:t>
      </w:r>
      <w:r w:rsidR="002A3271">
        <w:t xml:space="preserve"> </w:t>
      </w:r>
      <w:r>
        <w:t>best</w:t>
      </w:r>
      <w:r w:rsidR="002A3271">
        <w:t xml:space="preserve"> </w:t>
      </w:r>
      <w:r>
        <w:t>start</w:t>
      </w:r>
      <w:r w:rsidR="002A3271">
        <w:t xml:space="preserve"> </w:t>
      </w:r>
      <w:r>
        <w:t>in</w:t>
      </w:r>
      <w:r w:rsidR="002A3271">
        <w:t xml:space="preserve"> </w:t>
      </w:r>
      <w:r>
        <w:t>life</w:t>
      </w:r>
      <w:r w:rsidR="002A3271">
        <w:t xml:space="preserve"> </w:t>
      </w:r>
      <w:r>
        <w:t>for</w:t>
      </w:r>
      <w:r w:rsidR="002A3271">
        <w:t xml:space="preserve"> </w:t>
      </w:r>
      <w:r>
        <w:t>our</w:t>
      </w:r>
      <w:r w:rsidR="002A3271">
        <w:t xml:space="preserve"> </w:t>
      </w:r>
      <w:r>
        <w:t>kids.</w:t>
      </w:r>
    </w:p>
    <w:p w14:paraId="0C04620A" w14:textId="71A2DBD3" w:rsidR="009B1E82" w:rsidRDefault="009B1E82" w:rsidP="00FA505C">
      <w:r>
        <w:t>In</w:t>
      </w:r>
      <w:r w:rsidR="002A3271">
        <w:t xml:space="preserve"> </w:t>
      </w:r>
      <w:r>
        <w:t>Victoria,</w:t>
      </w:r>
      <w:r w:rsidR="002A3271">
        <w:t xml:space="preserve"> </w:t>
      </w:r>
      <w:r>
        <w:t>we</w:t>
      </w:r>
      <w:r w:rsidR="002A3271">
        <w:t xml:space="preserve"> </w:t>
      </w:r>
      <w:r>
        <w:t>look</w:t>
      </w:r>
      <w:r w:rsidR="002A3271">
        <w:t xml:space="preserve"> </w:t>
      </w:r>
      <w:r>
        <w:t>to</w:t>
      </w:r>
      <w:r w:rsidR="002A3271">
        <w:t xml:space="preserve"> </w:t>
      </w:r>
      <w:r>
        <w:t>the</w:t>
      </w:r>
      <w:r w:rsidR="002A3271">
        <w:t xml:space="preserve"> </w:t>
      </w:r>
      <w:r>
        <w:t>future</w:t>
      </w:r>
      <w:r w:rsidR="002A3271">
        <w:t xml:space="preserve"> </w:t>
      </w:r>
      <w:r>
        <w:t>and</w:t>
      </w:r>
      <w:r w:rsidR="002A3271">
        <w:t xml:space="preserve"> </w:t>
      </w:r>
      <w:r>
        <w:t>strive</w:t>
      </w:r>
      <w:r w:rsidR="002A3271">
        <w:t xml:space="preserve"> </w:t>
      </w:r>
      <w:r>
        <w:t>for</w:t>
      </w:r>
      <w:r w:rsidR="002A3271">
        <w:t xml:space="preserve"> </w:t>
      </w:r>
      <w:r>
        <w:t>the</w:t>
      </w:r>
      <w:r w:rsidR="002A3271">
        <w:t xml:space="preserve"> </w:t>
      </w:r>
      <w:r>
        <w:t>best.</w:t>
      </w:r>
      <w:r w:rsidR="002A3271">
        <w:t xml:space="preserve"> </w:t>
      </w:r>
      <w:r>
        <w:t>We</w:t>
      </w:r>
      <w:r w:rsidR="002A3271">
        <w:t xml:space="preserve"> </w:t>
      </w:r>
      <w:r>
        <w:t>have</w:t>
      </w:r>
      <w:r w:rsidR="002A3271">
        <w:t xml:space="preserve"> </w:t>
      </w:r>
      <w:r>
        <w:t>a</w:t>
      </w:r>
      <w:r w:rsidR="002A3271">
        <w:t xml:space="preserve"> </w:t>
      </w:r>
      <w:r>
        <w:t>global</w:t>
      </w:r>
      <w:r w:rsidR="002A3271">
        <w:t xml:space="preserve"> </w:t>
      </w:r>
      <w:r>
        <w:t>reputation</w:t>
      </w:r>
      <w:r w:rsidR="002A3271">
        <w:t xml:space="preserve"> </w:t>
      </w:r>
      <w:r>
        <w:t>for</w:t>
      </w:r>
      <w:r w:rsidR="002A3271">
        <w:t xml:space="preserve"> </w:t>
      </w:r>
      <w:r>
        <w:t>being</w:t>
      </w:r>
      <w:r w:rsidR="002A3271">
        <w:t xml:space="preserve"> </w:t>
      </w:r>
      <w:r>
        <w:t>innovative,</w:t>
      </w:r>
      <w:r w:rsidR="002A3271">
        <w:t xml:space="preserve"> </w:t>
      </w:r>
      <w:r>
        <w:t>progressive</w:t>
      </w:r>
      <w:r w:rsidR="002A3271">
        <w:t xml:space="preserve"> </w:t>
      </w:r>
      <w:r>
        <w:t>and</w:t>
      </w:r>
      <w:r w:rsidR="002A3271">
        <w:t xml:space="preserve"> </w:t>
      </w:r>
      <w:r>
        <w:t>embracing</w:t>
      </w:r>
      <w:r w:rsidR="002A3271">
        <w:t xml:space="preserve"> </w:t>
      </w:r>
      <w:r>
        <w:t>new</w:t>
      </w:r>
      <w:r w:rsidR="002A3271">
        <w:t xml:space="preserve"> </w:t>
      </w:r>
      <w:r>
        <w:t>ideas.</w:t>
      </w:r>
    </w:p>
    <w:p w14:paraId="1F31CB3D" w14:textId="54FF0FA6" w:rsidR="009B1E82" w:rsidRDefault="009B1E82" w:rsidP="00FA505C">
      <w:r>
        <w:t>We</w:t>
      </w:r>
      <w:r w:rsidR="002A3271">
        <w:t xml:space="preserve"> </w:t>
      </w:r>
      <w:r>
        <w:t>are</w:t>
      </w:r>
      <w:r w:rsidR="002A3271">
        <w:t xml:space="preserve"> </w:t>
      </w:r>
      <w:r>
        <w:t>home</w:t>
      </w:r>
      <w:r w:rsidR="002A3271">
        <w:t xml:space="preserve"> </w:t>
      </w:r>
      <w:r>
        <w:t>to</w:t>
      </w:r>
      <w:r w:rsidR="002A3271">
        <w:t xml:space="preserve"> </w:t>
      </w:r>
      <w:r>
        <w:t>Australia’s</w:t>
      </w:r>
      <w:r w:rsidR="002A3271">
        <w:t xml:space="preserve"> </w:t>
      </w:r>
      <w:r>
        <w:t>top</w:t>
      </w:r>
      <w:r w:rsidR="002A3271">
        <w:t xml:space="preserve"> </w:t>
      </w:r>
      <w:r>
        <w:t>universities.</w:t>
      </w:r>
      <w:r w:rsidR="002A3271">
        <w:t xml:space="preserve"> </w:t>
      </w:r>
      <w:r>
        <w:t>Students</w:t>
      </w:r>
      <w:r w:rsidR="002A3271">
        <w:t xml:space="preserve"> </w:t>
      </w:r>
      <w:r>
        <w:t>from</w:t>
      </w:r>
      <w:r w:rsidR="002A3271">
        <w:t xml:space="preserve"> </w:t>
      </w:r>
      <w:r>
        <w:t>around</w:t>
      </w:r>
      <w:r w:rsidR="002A3271">
        <w:t xml:space="preserve"> </w:t>
      </w:r>
      <w:r>
        <w:t>the</w:t>
      </w:r>
      <w:r w:rsidR="002A3271">
        <w:t xml:space="preserve"> </w:t>
      </w:r>
      <w:r>
        <w:t>globe</w:t>
      </w:r>
      <w:r w:rsidR="002A3271">
        <w:t xml:space="preserve"> </w:t>
      </w:r>
      <w:r>
        <w:t>come</w:t>
      </w:r>
      <w:r w:rsidR="002A3271">
        <w:t xml:space="preserve"> </w:t>
      </w:r>
      <w:r>
        <w:t>to</w:t>
      </w:r>
      <w:r w:rsidR="002A3271">
        <w:t xml:space="preserve"> </w:t>
      </w:r>
      <w:r>
        <w:t>learn</w:t>
      </w:r>
      <w:r w:rsidR="002A3271">
        <w:t xml:space="preserve"> </w:t>
      </w:r>
      <w:r>
        <w:t>and</w:t>
      </w:r>
      <w:r w:rsidR="002A3271">
        <w:t xml:space="preserve"> </w:t>
      </w:r>
      <w:r>
        <w:t>experience</w:t>
      </w:r>
      <w:r w:rsidR="002A3271">
        <w:t xml:space="preserve"> </w:t>
      </w:r>
      <w:r>
        <w:t>the</w:t>
      </w:r>
      <w:r w:rsidR="002A3271">
        <w:t xml:space="preserve"> </w:t>
      </w:r>
      <w:r>
        <w:t>culture</w:t>
      </w:r>
      <w:r w:rsidR="002A3271">
        <w:t xml:space="preserve"> </w:t>
      </w:r>
      <w:r>
        <w:t>and</w:t>
      </w:r>
      <w:r w:rsidR="002A3271">
        <w:t xml:space="preserve"> </w:t>
      </w:r>
      <w:r>
        <w:t>lifestyle</w:t>
      </w:r>
      <w:r w:rsidR="002A3271">
        <w:t xml:space="preserve"> </w:t>
      </w:r>
      <w:r>
        <w:t>of</w:t>
      </w:r>
      <w:r w:rsidR="002A3271">
        <w:t xml:space="preserve"> </w:t>
      </w:r>
      <w:r>
        <w:t>one</w:t>
      </w:r>
      <w:r w:rsidR="002A3271">
        <w:t xml:space="preserve"> </w:t>
      </w:r>
      <w:r>
        <w:t>of</w:t>
      </w:r>
      <w:r w:rsidR="002A3271">
        <w:t xml:space="preserve"> </w:t>
      </w:r>
      <w:r>
        <w:t>the</w:t>
      </w:r>
      <w:r w:rsidR="002A3271">
        <w:t xml:space="preserve"> </w:t>
      </w:r>
      <w:r>
        <w:t>world’s</w:t>
      </w:r>
      <w:r w:rsidR="002A3271">
        <w:t xml:space="preserve"> </w:t>
      </w:r>
      <w:r>
        <w:t>best</w:t>
      </w:r>
      <w:r w:rsidR="002A3271">
        <w:t xml:space="preserve"> </w:t>
      </w:r>
      <w:r>
        <w:t>student</w:t>
      </w:r>
      <w:r w:rsidR="002A3271">
        <w:t xml:space="preserve"> </w:t>
      </w:r>
      <w:r>
        <w:t>cities.</w:t>
      </w:r>
    </w:p>
    <w:p w14:paraId="544EA013" w14:textId="63C3BE97" w:rsidR="009B1E82" w:rsidRDefault="009B1E82" w:rsidP="00FA505C">
      <w:r>
        <w:t>We</w:t>
      </w:r>
      <w:r w:rsidR="002A3271">
        <w:t xml:space="preserve"> </w:t>
      </w:r>
      <w:r>
        <w:t>recently</w:t>
      </w:r>
      <w:r w:rsidR="002A3271">
        <w:t xml:space="preserve"> </w:t>
      </w:r>
      <w:r>
        <w:t>boosted</w:t>
      </w:r>
      <w:r w:rsidR="002A3271">
        <w:t xml:space="preserve"> </w:t>
      </w:r>
      <w:r>
        <w:t>the</w:t>
      </w:r>
      <w:r w:rsidR="002A3271">
        <w:t xml:space="preserve"> </w:t>
      </w:r>
      <w:r>
        <w:t>International</w:t>
      </w:r>
      <w:r w:rsidR="002A3271">
        <w:t xml:space="preserve"> </w:t>
      </w:r>
      <w:r>
        <w:t>Investment</w:t>
      </w:r>
      <w:r w:rsidR="002A3271">
        <w:t xml:space="preserve"> </w:t>
      </w:r>
      <w:r>
        <w:t>Attraction</w:t>
      </w:r>
      <w:r w:rsidR="002A3271">
        <w:t xml:space="preserve"> </w:t>
      </w:r>
      <w:r>
        <w:t>Fund</w:t>
      </w:r>
      <w:r w:rsidR="002A3271">
        <w:t xml:space="preserve"> </w:t>
      </w:r>
      <w:r>
        <w:t>by</w:t>
      </w:r>
      <w:r w:rsidR="002A3271">
        <w:t xml:space="preserve"> </w:t>
      </w:r>
      <w:r>
        <w:t>another</w:t>
      </w:r>
      <w:r w:rsidR="002A3271">
        <w:t xml:space="preserve"> </w:t>
      </w:r>
      <w:r>
        <w:t>$20</w:t>
      </w:r>
      <w:r w:rsidR="002A3271">
        <w:t xml:space="preserve"> </w:t>
      </w:r>
      <w:r>
        <w:t>million</w:t>
      </w:r>
      <w:r w:rsidR="002A3271">
        <w:t xml:space="preserve"> </w:t>
      </w:r>
      <w:r>
        <w:t>-</w:t>
      </w:r>
      <w:r w:rsidR="002A3271">
        <w:t xml:space="preserve"> </w:t>
      </w:r>
      <w:r>
        <w:t>so</w:t>
      </w:r>
      <w:r w:rsidR="002A3271">
        <w:t xml:space="preserve"> </w:t>
      </w:r>
      <w:r>
        <w:t>we</w:t>
      </w:r>
      <w:r w:rsidR="002A3271">
        <w:t xml:space="preserve"> </w:t>
      </w:r>
      <w:r>
        <w:t>can</w:t>
      </w:r>
      <w:r w:rsidR="002A3271">
        <w:t xml:space="preserve"> </w:t>
      </w:r>
      <w:r>
        <w:t>keep</w:t>
      </w:r>
      <w:r w:rsidR="002A3271">
        <w:t xml:space="preserve"> </w:t>
      </w:r>
      <w:r>
        <w:t>working</w:t>
      </w:r>
      <w:r w:rsidR="002A3271">
        <w:t xml:space="preserve"> </w:t>
      </w:r>
      <w:r>
        <w:t>with</w:t>
      </w:r>
      <w:r w:rsidR="002A3271">
        <w:t xml:space="preserve"> </w:t>
      </w:r>
      <w:r>
        <w:t>innovative</w:t>
      </w:r>
      <w:r w:rsidR="002A3271">
        <w:t xml:space="preserve"> </w:t>
      </w:r>
      <w:r>
        <w:t>companies</w:t>
      </w:r>
      <w:r w:rsidR="002A3271">
        <w:t xml:space="preserve"> </w:t>
      </w:r>
      <w:r>
        <w:t>to</w:t>
      </w:r>
      <w:r w:rsidR="002A3271">
        <w:t xml:space="preserve"> </w:t>
      </w:r>
      <w:r>
        <w:t>create</w:t>
      </w:r>
      <w:r w:rsidR="002A3271">
        <w:t xml:space="preserve"> </w:t>
      </w:r>
      <w:r>
        <w:t>local</w:t>
      </w:r>
      <w:r w:rsidR="002A3271">
        <w:t xml:space="preserve"> </w:t>
      </w:r>
      <w:r>
        <w:t>jobs</w:t>
      </w:r>
      <w:r w:rsidR="002A3271">
        <w:t xml:space="preserve"> </w:t>
      </w:r>
      <w:r>
        <w:t>and</w:t>
      </w:r>
      <w:r w:rsidR="002A3271">
        <w:t xml:space="preserve"> </w:t>
      </w:r>
      <w:r>
        <w:t>expand</w:t>
      </w:r>
      <w:r w:rsidR="002A3271">
        <w:t xml:space="preserve"> </w:t>
      </w:r>
      <w:r>
        <w:t>industry</w:t>
      </w:r>
      <w:r w:rsidR="002A3271">
        <w:t xml:space="preserve"> </w:t>
      </w:r>
      <w:r>
        <w:t>capability.</w:t>
      </w:r>
    </w:p>
    <w:p w14:paraId="675FEC97" w14:textId="536815FB" w:rsidR="009B1E82" w:rsidRDefault="009B1E82" w:rsidP="00FA505C">
      <w:r>
        <w:t>The</w:t>
      </w:r>
      <w:r w:rsidR="002A3271">
        <w:t xml:space="preserve"> </w:t>
      </w:r>
      <w:r>
        <w:t>Victorian</w:t>
      </w:r>
      <w:r w:rsidR="002A3271">
        <w:t xml:space="preserve"> </w:t>
      </w:r>
      <w:r>
        <w:t>Government</w:t>
      </w:r>
      <w:r w:rsidR="002A3271">
        <w:t xml:space="preserve"> </w:t>
      </w:r>
      <w:r>
        <w:t>is</w:t>
      </w:r>
      <w:r w:rsidR="002A3271">
        <w:t xml:space="preserve"> </w:t>
      </w:r>
      <w:r>
        <w:t>also</w:t>
      </w:r>
      <w:r w:rsidR="002A3271">
        <w:t xml:space="preserve"> </w:t>
      </w:r>
      <w:r>
        <w:t>investing</w:t>
      </w:r>
      <w:r w:rsidR="002A3271">
        <w:t xml:space="preserve"> </w:t>
      </w:r>
      <w:r>
        <w:t>$12</w:t>
      </w:r>
      <w:r w:rsidR="002A3271">
        <w:t xml:space="preserve"> </w:t>
      </w:r>
      <w:r>
        <w:t>million</w:t>
      </w:r>
      <w:r w:rsidR="002A3271">
        <w:t xml:space="preserve"> </w:t>
      </w:r>
      <w:r>
        <w:t>into</w:t>
      </w:r>
      <w:r w:rsidR="002A3271">
        <w:t xml:space="preserve"> </w:t>
      </w:r>
      <w:r>
        <w:t>the</w:t>
      </w:r>
      <w:r w:rsidR="002A3271">
        <w:t xml:space="preserve"> </w:t>
      </w:r>
      <w:r w:rsidRPr="001F7023">
        <w:rPr>
          <w:i/>
          <w:iCs/>
        </w:rPr>
        <w:t>Boosting</w:t>
      </w:r>
      <w:r w:rsidR="002A3271">
        <w:rPr>
          <w:i/>
          <w:iCs/>
        </w:rPr>
        <w:t xml:space="preserve"> </w:t>
      </w:r>
      <w:r w:rsidRPr="001F7023">
        <w:rPr>
          <w:i/>
          <w:iCs/>
        </w:rPr>
        <w:t>Victorian</w:t>
      </w:r>
      <w:r w:rsidR="002A3271">
        <w:rPr>
          <w:i/>
          <w:iCs/>
        </w:rPr>
        <w:t xml:space="preserve"> </w:t>
      </w:r>
      <w:r w:rsidRPr="001F7023">
        <w:rPr>
          <w:i/>
          <w:iCs/>
        </w:rPr>
        <w:t>Exports</w:t>
      </w:r>
      <w:r w:rsidR="002A3271">
        <w:t xml:space="preserve"> </w:t>
      </w:r>
      <w:r>
        <w:t>program</w:t>
      </w:r>
      <w:r w:rsidR="002A3271">
        <w:t xml:space="preserve"> </w:t>
      </w:r>
      <w:r>
        <w:t>to</w:t>
      </w:r>
      <w:r w:rsidR="002A3271">
        <w:t xml:space="preserve"> </w:t>
      </w:r>
      <w:r>
        <w:t>help</w:t>
      </w:r>
      <w:r w:rsidR="002A3271">
        <w:t xml:space="preserve"> </w:t>
      </w:r>
      <w:r>
        <w:t>Victorian</w:t>
      </w:r>
      <w:r w:rsidR="002A3271">
        <w:t xml:space="preserve"> </w:t>
      </w:r>
      <w:r>
        <w:t>companies</w:t>
      </w:r>
      <w:r w:rsidR="002A3271">
        <w:t xml:space="preserve"> </w:t>
      </w:r>
      <w:r>
        <w:t>enter</w:t>
      </w:r>
      <w:r w:rsidR="002A3271">
        <w:t xml:space="preserve"> </w:t>
      </w:r>
      <w:r>
        <w:t>global</w:t>
      </w:r>
      <w:r w:rsidR="002A3271">
        <w:t xml:space="preserve"> </w:t>
      </w:r>
      <w:r>
        <w:t>markets</w:t>
      </w:r>
      <w:r w:rsidR="002A3271">
        <w:t xml:space="preserve"> </w:t>
      </w:r>
      <w:r>
        <w:t>to</w:t>
      </w:r>
      <w:r w:rsidR="002A3271">
        <w:t xml:space="preserve"> </w:t>
      </w:r>
      <w:r>
        <w:t>grow</w:t>
      </w:r>
      <w:r w:rsidR="002A3271">
        <w:t xml:space="preserve"> </w:t>
      </w:r>
      <w:r>
        <w:t>our</w:t>
      </w:r>
      <w:r w:rsidR="002A3271">
        <w:t xml:space="preserve"> </w:t>
      </w:r>
      <w:r>
        <w:t>export</w:t>
      </w:r>
      <w:r w:rsidR="002A3271">
        <w:t xml:space="preserve"> </w:t>
      </w:r>
      <w:r>
        <w:t>sector.</w:t>
      </w:r>
    </w:p>
    <w:p w14:paraId="66044813" w14:textId="04E13903" w:rsidR="009B1E82" w:rsidRDefault="009B1E82" w:rsidP="00FA505C">
      <w:r>
        <w:t>We</w:t>
      </w:r>
      <w:r w:rsidR="002A3271">
        <w:t xml:space="preserve"> </w:t>
      </w:r>
      <w:r>
        <w:t>are</w:t>
      </w:r>
      <w:r w:rsidR="002A3271">
        <w:t xml:space="preserve"> </w:t>
      </w:r>
      <w:r>
        <w:t>investing</w:t>
      </w:r>
      <w:r w:rsidR="002A3271">
        <w:t xml:space="preserve"> </w:t>
      </w:r>
      <w:r>
        <w:t>$52.9</w:t>
      </w:r>
      <w:r w:rsidR="002A3271">
        <w:t xml:space="preserve"> </w:t>
      </w:r>
      <w:r>
        <w:t>million</w:t>
      </w:r>
      <w:r w:rsidR="002A3271">
        <w:t xml:space="preserve"> </w:t>
      </w:r>
      <w:r>
        <w:t>to</w:t>
      </w:r>
      <w:r w:rsidR="002A3271">
        <w:t xml:space="preserve"> </w:t>
      </w:r>
      <w:r>
        <w:t>drive</w:t>
      </w:r>
      <w:r w:rsidR="002A3271">
        <w:t xml:space="preserve"> </w:t>
      </w:r>
      <w:r>
        <w:t>the</w:t>
      </w:r>
      <w:r w:rsidR="002A3271">
        <w:t xml:space="preserve"> </w:t>
      </w:r>
      <w:r>
        <w:t>international</w:t>
      </w:r>
      <w:r w:rsidR="002A3271">
        <w:t xml:space="preserve"> </w:t>
      </w:r>
      <w:r>
        <w:t>education</w:t>
      </w:r>
      <w:r w:rsidR="002A3271">
        <w:t xml:space="preserve"> </w:t>
      </w:r>
      <w:r>
        <w:t>sector</w:t>
      </w:r>
      <w:r w:rsidR="002A3271">
        <w:t xml:space="preserve"> </w:t>
      </w:r>
      <w:r>
        <w:t>recovery</w:t>
      </w:r>
      <w:r w:rsidR="002A3271">
        <w:t xml:space="preserve"> </w:t>
      </w:r>
      <w:r>
        <w:t>and</w:t>
      </w:r>
      <w:r w:rsidR="002A3271">
        <w:t xml:space="preserve"> </w:t>
      </w:r>
      <w:r>
        <w:t>growth</w:t>
      </w:r>
      <w:r w:rsidR="002A3271">
        <w:t xml:space="preserve"> </w:t>
      </w:r>
      <w:r>
        <w:t>to</w:t>
      </w:r>
      <w:r w:rsidR="002A3271">
        <w:t xml:space="preserve"> </w:t>
      </w:r>
      <w:r>
        <w:t>elevate</w:t>
      </w:r>
      <w:r w:rsidR="002A3271">
        <w:t xml:space="preserve"> </w:t>
      </w:r>
      <w:r>
        <w:t>our</w:t>
      </w:r>
      <w:r w:rsidR="002A3271">
        <w:t xml:space="preserve"> </w:t>
      </w:r>
      <w:r>
        <w:t>reputation</w:t>
      </w:r>
      <w:r w:rsidR="002A3271">
        <w:t xml:space="preserve"> </w:t>
      </w:r>
      <w:r>
        <w:t>for</w:t>
      </w:r>
      <w:r w:rsidR="002A3271">
        <w:t xml:space="preserve"> </w:t>
      </w:r>
      <w:r>
        <w:t>education</w:t>
      </w:r>
      <w:r w:rsidR="002A3271">
        <w:t xml:space="preserve"> </w:t>
      </w:r>
      <w:r>
        <w:t>excellence.</w:t>
      </w:r>
    </w:p>
    <w:p w14:paraId="4D4DFE55" w14:textId="3E6633B1" w:rsidR="009B1E82" w:rsidRDefault="009B1E82" w:rsidP="00FA505C">
      <w:r>
        <w:t>Our</w:t>
      </w:r>
      <w:r w:rsidR="002A3271">
        <w:t xml:space="preserve"> </w:t>
      </w:r>
      <w:r>
        <w:t>trade</w:t>
      </w:r>
      <w:r w:rsidR="002A3271">
        <w:t xml:space="preserve"> </w:t>
      </w:r>
      <w:r>
        <w:t>and</w:t>
      </w:r>
      <w:r w:rsidR="002A3271">
        <w:t xml:space="preserve"> </w:t>
      </w:r>
      <w:r>
        <w:t>investment</w:t>
      </w:r>
      <w:r w:rsidR="002A3271">
        <w:t xml:space="preserve"> </w:t>
      </w:r>
      <w:r>
        <w:t>initiatives</w:t>
      </w:r>
      <w:r w:rsidR="002A3271">
        <w:t xml:space="preserve"> </w:t>
      </w:r>
      <w:r>
        <w:t>support</w:t>
      </w:r>
      <w:r w:rsidR="002A3271">
        <w:t xml:space="preserve"> </w:t>
      </w:r>
      <w:r>
        <w:t>local</w:t>
      </w:r>
      <w:r w:rsidR="002A3271">
        <w:t xml:space="preserve"> </w:t>
      </w:r>
      <w:r>
        <w:t>industry</w:t>
      </w:r>
      <w:r w:rsidR="002A3271">
        <w:t xml:space="preserve"> </w:t>
      </w:r>
      <w:r>
        <w:t>and</w:t>
      </w:r>
      <w:r w:rsidR="002A3271">
        <w:t xml:space="preserve"> </w:t>
      </w:r>
      <w:r>
        <w:t>create</w:t>
      </w:r>
      <w:r w:rsidR="002A3271">
        <w:t xml:space="preserve"> </w:t>
      </w:r>
      <w:r>
        <w:t>high</w:t>
      </w:r>
      <w:r w:rsidR="002A3271">
        <w:t xml:space="preserve"> </w:t>
      </w:r>
      <w:r>
        <w:t>quality</w:t>
      </w:r>
      <w:r w:rsidR="002A3271">
        <w:t xml:space="preserve"> </w:t>
      </w:r>
      <w:r>
        <w:t>jobs</w:t>
      </w:r>
      <w:r w:rsidR="002A3271">
        <w:t xml:space="preserve"> </w:t>
      </w:r>
      <w:r>
        <w:t>for</w:t>
      </w:r>
      <w:r w:rsidR="002A3271">
        <w:t xml:space="preserve"> </w:t>
      </w:r>
      <w:r>
        <w:t>Victorian</w:t>
      </w:r>
      <w:r w:rsidR="002A3271">
        <w:t xml:space="preserve"> </w:t>
      </w:r>
      <w:r>
        <w:t>workers.</w:t>
      </w:r>
    </w:p>
    <w:p w14:paraId="4422DF44" w14:textId="0B1CC65A" w:rsidR="009B1E82" w:rsidRDefault="009B1E82" w:rsidP="00FA505C">
      <w:r>
        <w:t>The</w:t>
      </w:r>
      <w:r w:rsidR="002A3271">
        <w:t xml:space="preserve"> </w:t>
      </w:r>
      <w:r>
        <w:t>Victorian</w:t>
      </w:r>
      <w:r w:rsidR="002A3271">
        <w:t xml:space="preserve"> </w:t>
      </w:r>
      <w:r>
        <w:t>Government’s</w:t>
      </w:r>
      <w:r w:rsidR="002A3271">
        <w:t xml:space="preserve"> </w:t>
      </w:r>
      <w:r>
        <w:t>achievements</w:t>
      </w:r>
      <w:r w:rsidR="002A3271">
        <w:t xml:space="preserve"> </w:t>
      </w:r>
      <w:r>
        <w:t>in</w:t>
      </w:r>
      <w:r w:rsidR="002A3271">
        <w:t xml:space="preserve"> </w:t>
      </w:r>
      <w:r>
        <w:t>2022-23</w:t>
      </w:r>
      <w:r w:rsidR="002A3271">
        <w:t xml:space="preserve"> </w:t>
      </w:r>
      <w:r>
        <w:t>have</w:t>
      </w:r>
      <w:r w:rsidR="002A3271">
        <w:t xml:space="preserve"> </w:t>
      </w:r>
      <w:r>
        <w:t>played</w:t>
      </w:r>
      <w:r w:rsidR="002A3271">
        <w:t xml:space="preserve"> </w:t>
      </w:r>
      <w:r>
        <w:t>a</w:t>
      </w:r>
      <w:r w:rsidR="002A3271">
        <w:t xml:space="preserve"> </w:t>
      </w:r>
      <w:r>
        <w:t>critical</w:t>
      </w:r>
      <w:r w:rsidR="002A3271">
        <w:t xml:space="preserve"> </w:t>
      </w:r>
      <w:r>
        <w:t>role</w:t>
      </w:r>
      <w:r w:rsidR="002A3271">
        <w:t xml:space="preserve"> </w:t>
      </w:r>
      <w:r>
        <w:t>in</w:t>
      </w:r>
      <w:r w:rsidR="002A3271">
        <w:t xml:space="preserve"> </w:t>
      </w:r>
      <w:r>
        <w:t>supporting</w:t>
      </w:r>
      <w:r w:rsidR="002A3271">
        <w:t xml:space="preserve"> </w:t>
      </w:r>
      <w:r>
        <w:t>the</w:t>
      </w:r>
      <w:r w:rsidR="002A3271">
        <w:t xml:space="preserve"> </w:t>
      </w:r>
      <w:r>
        <w:t>future</w:t>
      </w:r>
      <w:r w:rsidR="002A3271">
        <w:t xml:space="preserve"> </w:t>
      </w:r>
      <w:r>
        <w:t>economic</w:t>
      </w:r>
      <w:r w:rsidR="002A3271">
        <w:t xml:space="preserve"> </w:t>
      </w:r>
      <w:r>
        <w:t>growth</w:t>
      </w:r>
      <w:r w:rsidR="002A3271">
        <w:t xml:space="preserve"> </w:t>
      </w:r>
      <w:r>
        <w:t>of</w:t>
      </w:r>
      <w:r w:rsidR="002A3271">
        <w:t xml:space="preserve"> </w:t>
      </w:r>
      <w:r>
        <w:t>the</w:t>
      </w:r>
      <w:r w:rsidR="002A3271">
        <w:t xml:space="preserve"> </w:t>
      </w:r>
      <w:r>
        <w:t>state,</w:t>
      </w:r>
      <w:r w:rsidR="002A3271">
        <w:t xml:space="preserve"> </w:t>
      </w:r>
      <w:r>
        <w:t>boosting</w:t>
      </w:r>
      <w:r w:rsidR="002A3271">
        <w:t xml:space="preserve"> </w:t>
      </w:r>
      <w:r>
        <w:t>our</w:t>
      </w:r>
      <w:r w:rsidR="002A3271">
        <w:t xml:space="preserve"> </w:t>
      </w:r>
      <w:r>
        <w:t>economy,</w:t>
      </w:r>
      <w:r w:rsidR="002A3271">
        <w:t xml:space="preserve"> </w:t>
      </w:r>
      <w:r>
        <w:t>and</w:t>
      </w:r>
      <w:r w:rsidR="002A3271">
        <w:t xml:space="preserve"> </w:t>
      </w:r>
      <w:r>
        <w:t>providing</w:t>
      </w:r>
      <w:r w:rsidR="002A3271">
        <w:t xml:space="preserve"> </w:t>
      </w:r>
      <w:r>
        <w:t>a</w:t>
      </w:r>
      <w:r w:rsidR="002A3271">
        <w:t xml:space="preserve"> </w:t>
      </w:r>
      <w:r>
        <w:t>brighter</w:t>
      </w:r>
      <w:r w:rsidR="002A3271">
        <w:t xml:space="preserve"> </w:t>
      </w:r>
      <w:r>
        <w:t>future</w:t>
      </w:r>
      <w:r w:rsidR="002A3271">
        <w:t xml:space="preserve"> </w:t>
      </w:r>
      <w:r>
        <w:t>for</w:t>
      </w:r>
      <w:r w:rsidR="002A3271">
        <w:t xml:space="preserve"> </w:t>
      </w:r>
      <w:r>
        <w:t>all</w:t>
      </w:r>
      <w:r w:rsidR="002A3271">
        <w:t xml:space="preserve"> </w:t>
      </w:r>
      <w:r>
        <w:t>Victorians.</w:t>
      </w:r>
    </w:p>
    <w:p w14:paraId="7CC9C19F" w14:textId="5CC7BDA7" w:rsidR="009B1E82" w:rsidRPr="00FA505C" w:rsidRDefault="009B1E82" w:rsidP="00FA505C">
      <w:r w:rsidRPr="00FA505C">
        <w:rPr>
          <w:b/>
          <w:bCs/>
        </w:rPr>
        <w:t>Tim</w:t>
      </w:r>
      <w:r w:rsidR="002A3271">
        <w:rPr>
          <w:b/>
          <w:bCs/>
        </w:rPr>
        <w:t xml:space="preserve"> </w:t>
      </w:r>
      <w:r w:rsidRPr="00FA505C">
        <w:rPr>
          <w:b/>
          <w:bCs/>
        </w:rPr>
        <w:t>Pallas</w:t>
      </w:r>
      <w:r w:rsidR="002A3271">
        <w:rPr>
          <w:b/>
          <w:bCs/>
        </w:rPr>
        <w:t xml:space="preserve"> </w:t>
      </w:r>
      <w:r w:rsidRPr="00FA505C">
        <w:rPr>
          <w:b/>
          <w:bCs/>
        </w:rPr>
        <w:t>MP</w:t>
      </w:r>
      <w:r w:rsidR="002A3271">
        <w:t xml:space="preserve"> </w:t>
      </w:r>
      <w:r w:rsidR="00FA505C">
        <w:br/>
      </w:r>
      <w:r w:rsidRPr="00FA505C">
        <w:t>Minister</w:t>
      </w:r>
      <w:r w:rsidR="002A3271">
        <w:t xml:space="preserve"> </w:t>
      </w:r>
      <w:r w:rsidRPr="00FA505C">
        <w:t>for</w:t>
      </w:r>
      <w:r w:rsidR="002A3271">
        <w:t xml:space="preserve"> </w:t>
      </w:r>
      <w:r w:rsidRPr="00FA505C">
        <w:t>Economic</w:t>
      </w:r>
      <w:r w:rsidR="002A3271">
        <w:t xml:space="preserve"> </w:t>
      </w:r>
      <w:r w:rsidRPr="00FA505C">
        <w:t>Growth</w:t>
      </w:r>
    </w:p>
    <w:p w14:paraId="6C584560" w14:textId="04449C1D" w:rsidR="009B1E82" w:rsidRPr="00BC5FAD" w:rsidRDefault="009B1E82" w:rsidP="00FA505C">
      <w:pPr>
        <w:rPr>
          <w:i/>
          <w:iCs/>
        </w:rPr>
      </w:pPr>
      <w:r w:rsidRPr="00BC5FAD">
        <w:rPr>
          <w:i/>
          <w:iCs/>
        </w:rPr>
        <w:t>We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have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a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global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reputation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for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being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innovative,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progressive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and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embracing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new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ideas.</w:t>
      </w:r>
      <w:r w:rsidR="002A3271" w:rsidRPr="00BC5FAD">
        <w:rPr>
          <w:i/>
          <w:iCs/>
        </w:rPr>
        <w:t xml:space="preserve"> </w:t>
      </w:r>
    </w:p>
    <w:p w14:paraId="7817A6E0" w14:textId="1E239D91" w:rsidR="009B1E82" w:rsidRPr="009B1E82" w:rsidRDefault="009B1E82" w:rsidP="00FA505C">
      <w:pPr>
        <w:pStyle w:val="Heading1"/>
        <w:rPr>
          <w:lang w:val="en-GB" w:eastAsia="en-GB"/>
        </w:rPr>
      </w:pPr>
      <w:bookmarkStart w:id="2" w:name="_Toc149212485"/>
      <w:r w:rsidRPr="009B1E82">
        <w:rPr>
          <w:lang w:val="en-GB" w:eastAsia="en-GB"/>
        </w:rPr>
        <w:t>Message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CEO</w:t>
      </w:r>
      <w:bookmarkEnd w:id="2"/>
    </w:p>
    <w:p w14:paraId="3E69E426" w14:textId="4370B94E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built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relationships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connections.</w:t>
      </w:r>
    </w:p>
    <w:p w14:paraId="7F625A8C" w14:textId="326A753E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offices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here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globe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built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relationships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connections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develop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investment.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connect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world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bring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know-how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home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stimulate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industry.</w:t>
      </w:r>
    </w:p>
    <w:p w14:paraId="7B389767" w14:textId="54EA4C9B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Australia’s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liveable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city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on-track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become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largest.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nation’s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best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city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provider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high-quality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education.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We’re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leaders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research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technologies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advanced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manufacturing,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start-up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ecosystem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thriving.</w:t>
      </w:r>
    </w:p>
    <w:p w14:paraId="45155602" w14:textId="6C4FD499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fibre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represent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largest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remain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focused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growing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$20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billion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2030.</w:t>
      </w:r>
    </w:p>
    <w:p w14:paraId="5E9173D9" w14:textId="38135B16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past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12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months,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have:</w:t>
      </w:r>
    </w:p>
    <w:p w14:paraId="0D1645F8" w14:textId="5169342E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generate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$704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exports</w:t>
      </w:r>
    </w:p>
    <w:p w14:paraId="2A86F16B" w14:textId="14B508A2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lastRenderedPageBreak/>
        <w:t>delivered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48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missions,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working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645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markets</w:t>
      </w:r>
    </w:p>
    <w:p w14:paraId="15E863CD" w14:textId="37C3F7AB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helped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660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clients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develop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capabilities</w:t>
      </w:r>
    </w:p>
    <w:p w14:paraId="0F495F5B" w14:textId="2ACE8CA1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hosted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225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events</w:t>
      </w:r>
    </w:p>
    <w:p w14:paraId="0CDBDC29" w14:textId="39B6053F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welcomed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10,000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visitors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</w:p>
    <w:p w14:paraId="6999C9EA" w14:textId="3E5E602C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provided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information,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legal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referrals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complex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casework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1,850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students</w:t>
      </w:r>
    </w:p>
    <w:p w14:paraId="4BE3F89D" w14:textId="4DE53B6C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attracted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29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set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up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another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14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presence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here.</w:t>
      </w:r>
    </w:p>
    <w:p w14:paraId="03C57A60" w14:textId="471CD71B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track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record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success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relationships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public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makes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us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ideal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partner,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whether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you’re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looking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markets,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your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Asia-Pacific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footprint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find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innovative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collaborators.</w:t>
      </w:r>
    </w:p>
    <w:p w14:paraId="49F47876" w14:textId="51C75D3B" w:rsidR="009B1E82" w:rsidRPr="00BC5FAD" w:rsidRDefault="009B1E82" w:rsidP="00FA505C">
      <w:pPr>
        <w:rPr>
          <w:i/>
          <w:iCs/>
          <w:lang w:val="en-GB" w:eastAsia="en-GB"/>
        </w:rPr>
      </w:pPr>
      <w:r w:rsidRPr="00BC5FAD">
        <w:rPr>
          <w:i/>
          <w:iCs/>
          <w:lang w:val="en-GB" w:eastAsia="en-GB"/>
        </w:rPr>
        <w:t>Our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global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network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is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ready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to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work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with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you.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Let’s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find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success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together.</w:t>
      </w:r>
    </w:p>
    <w:p w14:paraId="42BE1A90" w14:textId="091CC067" w:rsidR="009B1E82" w:rsidRPr="009B1E82" w:rsidRDefault="009B1E82" w:rsidP="00FA505C">
      <w:pPr>
        <w:rPr>
          <w:lang w:val="en-GB" w:eastAsia="en-GB"/>
        </w:rPr>
      </w:pPr>
      <w:r w:rsidRPr="009B1E82">
        <w:rPr>
          <w:b/>
          <w:bCs/>
          <w:lang w:val="en-GB" w:eastAsia="en-GB"/>
        </w:rPr>
        <w:t>Danni</w:t>
      </w:r>
      <w:r w:rsidR="002A3271">
        <w:rPr>
          <w:b/>
          <w:bCs/>
          <w:lang w:val="en-GB" w:eastAsia="en-GB"/>
        </w:rPr>
        <w:t xml:space="preserve"> </w:t>
      </w:r>
      <w:r w:rsidRPr="009B1E82">
        <w:rPr>
          <w:b/>
          <w:bCs/>
          <w:lang w:val="en-GB" w:eastAsia="en-GB"/>
        </w:rPr>
        <w:t>Jarrett</w:t>
      </w:r>
      <w:r w:rsidR="002A3271">
        <w:rPr>
          <w:lang w:val="en-GB" w:eastAsia="en-GB"/>
        </w:rPr>
        <w:t xml:space="preserve"> </w:t>
      </w:r>
      <w:r w:rsidR="00FA505C">
        <w:rPr>
          <w:lang w:val="en-GB" w:eastAsia="en-GB"/>
        </w:rPr>
        <w:br/>
      </w:r>
      <w:r w:rsidRPr="009B1E82">
        <w:rPr>
          <w:lang w:val="en-GB" w:eastAsia="en-GB"/>
        </w:rPr>
        <w:t>CEO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</w:t>
      </w:r>
    </w:p>
    <w:p w14:paraId="49C4BA23" w14:textId="3449557C" w:rsidR="009B1E82" w:rsidRDefault="009B1E82" w:rsidP="00597802">
      <w:pPr>
        <w:pStyle w:val="Heading1"/>
      </w:pPr>
      <w:bookmarkStart w:id="3" w:name="_Toc149212486"/>
      <w:r>
        <w:t>Trade</w:t>
      </w:r>
      <w:r w:rsidR="002A3271">
        <w:t xml:space="preserve"> </w:t>
      </w:r>
      <w:r>
        <w:t>and</w:t>
      </w:r>
      <w:r w:rsidR="002A3271">
        <w:t xml:space="preserve"> </w:t>
      </w:r>
      <w:r>
        <w:t>Investment</w:t>
      </w:r>
      <w:bookmarkEnd w:id="3"/>
      <w:r w:rsidR="002A3271">
        <w:t xml:space="preserve"> </w:t>
      </w:r>
    </w:p>
    <w:p w14:paraId="1B25AC81" w14:textId="6A431D18" w:rsidR="009B1E82" w:rsidRDefault="009B1E82" w:rsidP="00597802">
      <w:pPr>
        <w:pStyle w:val="Heading2"/>
      </w:pPr>
      <w:bookmarkStart w:id="4" w:name="_Toc149212487"/>
      <w:r>
        <w:t>Who</w:t>
      </w:r>
      <w:r w:rsidR="002A3271">
        <w:t xml:space="preserve"> </w:t>
      </w:r>
      <w:r>
        <w:t>we</w:t>
      </w:r>
      <w:r w:rsidR="002A3271">
        <w:t xml:space="preserve"> </w:t>
      </w:r>
      <w:r>
        <w:t>are</w:t>
      </w:r>
      <w:bookmarkEnd w:id="4"/>
    </w:p>
    <w:p w14:paraId="0F5797E6" w14:textId="33C52B80" w:rsidR="009B1E82" w:rsidRPr="00597802" w:rsidRDefault="009B1E82" w:rsidP="00597802">
      <w:r>
        <w:t>Trade,</w:t>
      </w:r>
      <w:r w:rsidR="002A3271">
        <w:t xml:space="preserve"> </w:t>
      </w:r>
      <w:r>
        <w:t>investment</w:t>
      </w:r>
      <w:r w:rsidR="002A3271">
        <w:t xml:space="preserve"> </w:t>
      </w:r>
      <w:r>
        <w:t>and</w:t>
      </w:r>
      <w:r w:rsidR="002A3271">
        <w:t xml:space="preserve"> </w:t>
      </w:r>
      <w:r w:rsidRPr="00597802">
        <w:t>international</w:t>
      </w:r>
      <w:r w:rsidR="002A3271">
        <w:t xml:space="preserve"> </w:t>
      </w:r>
      <w:r w:rsidRPr="00597802">
        <w:t>education</w:t>
      </w:r>
      <w:r w:rsidR="002A3271">
        <w:t xml:space="preserve"> </w:t>
      </w:r>
      <w:r w:rsidRPr="00597802">
        <w:t>teams</w:t>
      </w:r>
      <w:r w:rsidR="002A3271">
        <w:t xml:space="preserve"> </w:t>
      </w:r>
      <w:r w:rsidRPr="00597802">
        <w:t>work</w:t>
      </w:r>
      <w:r w:rsidR="002A3271">
        <w:t xml:space="preserve"> </w:t>
      </w:r>
      <w:r w:rsidRPr="00597802">
        <w:t>together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support</w:t>
      </w:r>
      <w:r w:rsidR="002A3271">
        <w:t xml:space="preserve"> </w:t>
      </w:r>
      <w:r w:rsidRPr="00597802">
        <w:t>local</w:t>
      </w:r>
      <w:r w:rsidR="002A3271">
        <w:t xml:space="preserve"> </w:t>
      </w:r>
      <w:r w:rsidRPr="00597802">
        <w:t>industries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expand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create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jobs</w:t>
      </w:r>
      <w:r w:rsidR="002A3271">
        <w:t xml:space="preserve"> </w:t>
      </w:r>
      <w:r w:rsidRPr="00597802">
        <w:t>of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future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Victorians.</w:t>
      </w:r>
    </w:p>
    <w:p w14:paraId="2E6B0D86" w14:textId="4448977C" w:rsidR="009B1E82" w:rsidRPr="00597802" w:rsidRDefault="009B1E82" w:rsidP="00597802">
      <w:r w:rsidRPr="00597802">
        <w:t>We</w:t>
      </w:r>
      <w:r w:rsidR="002A3271">
        <w:t xml:space="preserve"> </w:t>
      </w:r>
      <w:r w:rsidRPr="00597802">
        <w:t>have</w:t>
      </w:r>
      <w:r w:rsidR="002A3271">
        <w:t xml:space="preserve"> </w:t>
      </w:r>
      <w:r w:rsidRPr="00597802">
        <w:t>unparalleled</w:t>
      </w:r>
      <w:r w:rsidR="002A3271">
        <w:t xml:space="preserve"> </w:t>
      </w:r>
      <w:r w:rsidRPr="00597802">
        <w:t>expertise</w:t>
      </w:r>
      <w:r w:rsidR="002A3271">
        <w:t xml:space="preserve"> </w:t>
      </w:r>
      <w:r w:rsidRPr="00597802">
        <w:t>supporting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succeed</w:t>
      </w:r>
      <w:r w:rsidR="002A3271">
        <w:t xml:space="preserve"> </w:t>
      </w:r>
      <w:r w:rsidRPr="00597802">
        <w:t>–</w:t>
      </w:r>
      <w:r w:rsidR="002A3271">
        <w:t xml:space="preserve"> </w:t>
      </w:r>
      <w:r w:rsidRPr="00597802">
        <w:t>both</w:t>
      </w:r>
      <w:r w:rsidR="002A3271">
        <w:t xml:space="preserve"> </w:t>
      </w:r>
      <w:r w:rsidRPr="00597802">
        <w:t>Victorian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taking</w:t>
      </w:r>
      <w:r w:rsidR="002A3271">
        <w:t xml:space="preserve"> </w:t>
      </w:r>
      <w:r w:rsidRPr="00597802">
        <w:t>on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world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overseas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looking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grow</w:t>
      </w:r>
      <w:r w:rsidR="002A3271">
        <w:t xml:space="preserve"> </w:t>
      </w:r>
      <w:r w:rsidRPr="00597802">
        <w:t>in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region.</w:t>
      </w:r>
    </w:p>
    <w:p w14:paraId="5BF2A5A5" w14:textId="66EF2FEB" w:rsidR="009B1E82" w:rsidRPr="00597802" w:rsidRDefault="009B1E82" w:rsidP="00597802">
      <w:r w:rsidRPr="00597802">
        <w:t>Victoria</w:t>
      </w:r>
      <w:r w:rsidR="002A3271">
        <w:t xml:space="preserve"> </w:t>
      </w:r>
      <w:r w:rsidRPr="00597802">
        <w:t>offers</w:t>
      </w:r>
      <w:r w:rsidR="002A3271">
        <w:t xml:space="preserve"> </w:t>
      </w:r>
      <w:r w:rsidRPr="00597802">
        <w:t>vast</w:t>
      </w:r>
      <w:r w:rsidR="002A3271">
        <w:t xml:space="preserve"> </w:t>
      </w:r>
      <w:r w:rsidRPr="00597802">
        <w:t>opportunities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success,</w:t>
      </w:r>
      <w:r w:rsidR="002A3271">
        <w:t xml:space="preserve"> </w:t>
      </w:r>
      <w:r w:rsidRPr="00597802">
        <w:t>access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skilled</w:t>
      </w:r>
      <w:r w:rsidR="002A3271">
        <w:t xml:space="preserve"> </w:t>
      </w:r>
      <w:r w:rsidRPr="00597802">
        <w:t>talent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infrastructure</w:t>
      </w:r>
      <w:r w:rsidR="002A3271">
        <w:t xml:space="preserve"> </w:t>
      </w:r>
      <w:r w:rsidRPr="00597802">
        <w:t>that’s</w:t>
      </w:r>
      <w:r w:rsidR="002A3271">
        <w:t xml:space="preserve"> </w:t>
      </w:r>
      <w:r w:rsidRPr="00597802">
        <w:t>focused</w:t>
      </w:r>
      <w:r w:rsidR="002A3271">
        <w:t xml:space="preserve"> </w:t>
      </w:r>
      <w:r w:rsidRPr="00597802">
        <w:t>on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future.</w:t>
      </w:r>
      <w:r w:rsidR="002A3271">
        <w:t xml:space="preserve"> </w:t>
      </w:r>
      <w:r w:rsidRPr="00597802">
        <w:t>We</w:t>
      </w:r>
      <w:r w:rsidR="002A3271">
        <w:t xml:space="preserve"> </w:t>
      </w:r>
      <w:r w:rsidRPr="00597802">
        <w:t>make</w:t>
      </w:r>
      <w:r w:rsidR="002A3271">
        <w:t xml:space="preserve"> </w:t>
      </w:r>
      <w:r w:rsidRPr="00597802">
        <w:t>sure</w:t>
      </w:r>
      <w:r w:rsidR="002A3271">
        <w:t xml:space="preserve"> </w:t>
      </w:r>
      <w:r w:rsidRPr="00597802">
        <w:t>investors,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individuals</w:t>
      </w:r>
      <w:r w:rsidR="002A3271">
        <w:t xml:space="preserve"> </w:t>
      </w:r>
      <w:r w:rsidRPr="00597802">
        <w:t>have</w:t>
      </w:r>
      <w:r w:rsidR="002A3271">
        <w:t xml:space="preserve"> </w:t>
      </w:r>
      <w:r w:rsidRPr="00597802">
        <w:t>access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information,</w:t>
      </w:r>
      <w:r w:rsidR="002A3271">
        <w:t xml:space="preserve"> </w:t>
      </w:r>
      <w:r w:rsidRPr="00597802">
        <w:t>relationships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initiatives</w:t>
      </w:r>
      <w:r w:rsidR="002A3271">
        <w:t xml:space="preserve"> </w:t>
      </w:r>
      <w:r w:rsidRPr="00597802">
        <w:t>they</w:t>
      </w:r>
      <w:r w:rsidR="002A3271">
        <w:t xml:space="preserve"> </w:t>
      </w:r>
      <w:r w:rsidRPr="00597802">
        <w:t>need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study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work</w:t>
      </w:r>
      <w:r w:rsidR="002A3271">
        <w:t xml:space="preserve"> </w:t>
      </w:r>
      <w:r w:rsidRPr="00597802">
        <w:t>here.</w:t>
      </w:r>
    </w:p>
    <w:p w14:paraId="13D68E98" w14:textId="5432403B" w:rsidR="009B1E82" w:rsidRPr="00597802" w:rsidRDefault="009B1E82" w:rsidP="00597802">
      <w:r w:rsidRPr="00597802">
        <w:t>We</w:t>
      </w:r>
      <w:r w:rsidR="002A3271">
        <w:t xml:space="preserve"> </w:t>
      </w:r>
      <w:r w:rsidRPr="00597802">
        <w:t>drive</w:t>
      </w:r>
      <w:r w:rsidR="002A3271">
        <w:t xml:space="preserve"> </w:t>
      </w:r>
      <w:r w:rsidRPr="00597802">
        <w:t>growth</w:t>
      </w:r>
      <w:r w:rsidR="002A3271">
        <w:t xml:space="preserve"> </w:t>
      </w:r>
      <w:r w:rsidRPr="00597802">
        <w:t>across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economy</w:t>
      </w:r>
      <w:r w:rsidR="002A3271">
        <w:t xml:space="preserve"> </w:t>
      </w:r>
      <w:r w:rsidRPr="00597802">
        <w:t>by</w:t>
      </w:r>
      <w:r w:rsidR="002A3271">
        <w:t xml:space="preserve"> </w:t>
      </w:r>
      <w:r w:rsidRPr="00597802">
        <w:t>strengthening</w:t>
      </w:r>
      <w:r w:rsidR="002A3271">
        <w:t xml:space="preserve"> </w:t>
      </w:r>
      <w:r w:rsidRPr="00597802">
        <w:t>trade,</w:t>
      </w:r>
      <w:r w:rsidR="002A3271">
        <w:t xml:space="preserve"> </w:t>
      </w:r>
      <w:r w:rsidRPr="00597802">
        <w:t>education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outcomes</w:t>
      </w:r>
      <w:r w:rsidR="002A3271">
        <w:t xml:space="preserve"> </w:t>
      </w:r>
      <w:r w:rsidRPr="00597802">
        <w:t>between</w:t>
      </w:r>
      <w:r w:rsidR="002A3271">
        <w:t xml:space="preserve"> </w:t>
      </w:r>
      <w:r w:rsidRPr="00597802">
        <w:t>Victoria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rest</w:t>
      </w:r>
      <w:r w:rsidR="002A3271">
        <w:t xml:space="preserve"> </w:t>
      </w:r>
      <w:r w:rsidRPr="00597802">
        <w:t>of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world.</w:t>
      </w:r>
    </w:p>
    <w:p w14:paraId="2E81260E" w14:textId="7D5C50BA" w:rsidR="00C552BC" w:rsidRPr="00134ECC" w:rsidRDefault="00C552BC" w:rsidP="00134ECC">
      <w:r w:rsidRPr="00134ECC">
        <w:rPr>
          <w:noProof/>
        </w:rPr>
        <w:drawing>
          <wp:inline distT="0" distB="0" distL="0" distR="0" wp14:anchorId="5991F22B" wp14:editId="6B1D5FF7">
            <wp:extent cx="1386515" cy="576000"/>
            <wp:effectExtent l="0" t="0" r="0" b="0"/>
            <wp:docPr id="74167091" name="Picture 1" descr="Global Vic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7091" name="Picture 1" descr="Global Victoria Logo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6515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BC3CE" w14:textId="5832040D" w:rsidR="009B1E82" w:rsidRPr="00597802" w:rsidRDefault="009B1E82" w:rsidP="00597802">
      <w:pPr>
        <w:pStyle w:val="Heading3"/>
      </w:pPr>
      <w:r w:rsidRPr="00597802">
        <w:t>Global</w:t>
      </w:r>
      <w:r w:rsidR="002A3271">
        <w:t xml:space="preserve"> </w:t>
      </w:r>
      <w:r w:rsidRPr="00597802">
        <w:t>Victoria</w:t>
      </w:r>
      <w:r w:rsidR="002A3271">
        <w:t xml:space="preserve"> </w:t>
      </w:r>
    </w:p>
    <w:p w14:paraId="63437573" w14:textId="49C748B3" w:rsidR="009B1E82" w:rsidRDefault="009B1E82" w:rsidP="00597802">
      <w:r w:rsidRPr="00597802">
        <w:t>Trade</w:t>
      </w:r>
      <w:r w:rsidR="002A3271">
        <w:t xml:space="preserve"> </w:t>
      </w:r>
      <w:r w:rsidRPr="00597802">
        <w:t>promotion</w:t>
      </w:r>
    </w:p>
    <w:p w14:paraId="12C6D329" w14:textId="0815D912" w:rsidR="00C552BC" w:rsidRPr="00597802" w:rsidRDefault="00C552BC" w:rsidP="00597802">
      <w:r w:rsidRPr="00C552BC">
        <w:rPr>
          <w:noProof/>
        </w:rPr>
        <w:lastRenderedPageBreak/>
        <w:drawing>
          <wp:inline distT="0" distB="0" distL="0" distR="0" wp14:anchorId="49354E92" wp14:editId="70B6DBC1">
            <wp:extent cx="1417500" cy="576000"/>
            <wp:effectExtent l="0" t="0" r="5080" b="0"/>
            <wp:docPr id="2121750682" name="Picture 1" descr="Invest Vic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50682" name="Picture 1" descr="Invest Victoria Logo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75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4EF9" w14:textId="45EADD27" w:rsidR="009B1E82" w:rsidRDefault="009B1E82" w:rsidP="00597802">
      <w:pPr>
        <w:pStyle w:val="Heading3"/>
      </w:pPr>
      <w:r>
        <w:t>Invest</w:t>
      </w:r>
      <w:r w:rsidR="002A3271">
        <w:t xml:space="preserve"> </w:t>
      </w:r>
      <w:r>
        <w:t>Victoria</w:t>
      </w:r>
      <w:r w:rsidR="002A3271">
        <w:t xml:space="preserve"> </w:t>
      </w:r>
    </w:p>
    <w:p w14:paraId="13FF8B04" w14:textId="7AA85929" w:rsidR="009B1E82" w:rsidRDefault="009B1E82" w:rsidP="00597802">
      <w:r w:rsidRPr="00597802">
        <w:t>Foreign</w:t>
      </w:r>
      <w:r w:rsidR="002A3271">
        <w:t xml:space="preserve"> </w:t>
      </w:r>
      <w:r w:rsidRPr="00597802">
        <w:t>direct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attraction</w:t>
      </w:r>
    </w:p>
    <w:p w14:paraId="13132CD7" w14:textId="6CC52BCE" w:rsidR="00C552BC" w:rsidRPr="00597802" w:rsidRDefault="00C552BC" w:rsidP="00597802">
      <w:r w:rsidRPr="00C552BC">
        <w:rPr>
          <w:noProof/>
        </w:rPr>
        <w:drawing>
          <wp:inline distT="0" distB="0" distL="0" distR="0" wp14:anchorId="632E76D8" wp14:editId="54B68410">
            <wp:extent cx="1349863" cy="576000"/>
            <wp:effectExtent l="0" t="0" r="0" b="0"/>
            <wp:docPr id="1813301653" name="Picture 1" descr="Study Melbour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01653" name="Picture 1" descr="Study Melbourne Logo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9863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4AA6" w14:textId="1207C8B8" w:rsidR="009B1E82" w:rsidRDefault="009B1E82" w:rsidP="00597802">
      <w:pPr>
        <w:pStyle w:val="Heading3"/>
      </w:pPr>
      <w:r>
        <w:t>Study</w:t>
      </w:r>
      <w:r w:rsidR="002A3271">
        <w:t xml:space="preserve"> </w:t>
      </w:r>
      <w:r>
        <w:t>Melbourne</w:t>
      </w:r>
      <w:r w:rsidR="002A3271">
        <w:t xml:space="preserve"> </w:t>
      </w:r>
    </w:p>
    <w:p w14:paraId="5937BDDC" w14:textId="146F141B" w:rsidR="009B1E82" w:rsidRPr="00597802" w:rsidRDefault="009B1E82" w:rsidP="00597802">
      <w:r w:rsidRPr="00597802">
        <w:t>International</w:t>
      </w:r>
      <w:r w:rsidR="002A3271">
        <w:t xml:space="preserve"> </w:t>
      </w:r>
      <w:r w:rsidRPr="00597802">
        <w:t>education</w:t>
      </w:r>
    </w:p>
    <w:p w14:paraId="01297999" w14:textId="6D7C5DE3" w:rsidR="009B1E82" w:rsidRDefault="009B1E82" w:rsidP="00597802">
      <w:pPr>
        <w:pStyle w:val="Heading3"/>
      </w:pPr>
      <w:r>
        <w:t>Victorian</w:t>
      </w:r>
      <w:r w:rsidR="002A3271">
        <w:t xml:space="preserve"> </w:t>
      </w:r>
      <w:r>
        <w:t>Government</w:t>
      </w:r>
      <w:r w:rsidR="002A3271">
        <w:t xml:space="preserve"> </w:t>
      </w:r>
      <w:r>
        <w:t>Trade</w:t>
      </w:r>
      <w:r w:rsidR="002A3271">
        <w:t xml:space="preserve"> </w:t>
      </w:r>
      <w:r>
        <w:t>and</w:t>
      </w:r>
      <w:r w:rsidR="002A3271">
        <w:t xml:space="preserve"> </w:t>
      </w:r>
      <w:r>
        <w:t>Investment</w:t>
      </w:r>
      <w:r w:rsidR="002A3271">
        <w:t xml:space="preserve"> </w:t>
      </w:r>
      <w:r>
        <w:t>International</w:t>
      </w:r>
      <w:r w:rsidR="002A3271">
        <w:t xml:space="preserve"> </w:t>
      </w:r>
      <w:r>
        <w:t>Network</w:t>
      </w:r>
      <w:r w:rsidR="002A3271">
        <w:t xml:space="preserve"> </w:t>
      </w:r>
    </w:p>
    <w:p w14:paraId="2F2A9576" w14:textId="10612ED9" w:rsidR="009B1E82" w:rsidRPr="00597802" w:rsidRDefault="009B1E82" w:rsidP="00597802">
      <w:r w:rsidRPr="00597802">
        <w:t>23</w:t>
      </w:r>
      <w:r w:rsidR="002A3271">
        <w:t xml:space="preserve"> </w:t>
      </w:r>
      <w:r w:rsidRPr="00597802">
        <w:t>international</w:t>
      </w:r>
      <w:r w:rsidR="002A3271">
        <w:t xml:space="preserve"> </w:t>
      </w:r>
      <w:r w:rsidRPr="00597802">
        <w:t>offices</w:t>
      </w:r>
      <w:r w:rsidR="002A3271">
        <w:t xml:space="preserve"> </w:t>
      </w:r>
      <w:r w:rsidRPr="00597802">
        <w:t>located</w:t>
      </w:r>
      <w:r w:rsidR="002A3271">
        <w:t xml:space="preserve"> </w:t>
      </w:r>
      <w:r w:rsidRPr="00597802">
        <w:t>in</w:t>
      </w:r>
      <w:r w:rsidR="002A3271">
        <w:t xml:space="preserve"> </w:t>
      </w:r>
      <w:r w:rsidRPr="00597802">
        <w:t>15</w:t>
      </w:r>
      <w:r w:rsidR="002A3271">
        <w:t xml:space="preserve"> </w:t>
      </w:r>
      <w:r w:rsidRPr="00597802">
        <w:t>countries</w:t>
      </w:r>
    </w:p>
    <w:p w14:paraId="73BBFD6E" w14:textId="3DE29548" w:rsidR="009B1E82" w:rsidRDefault="009B1E82" w:rsidP="00FA505C">
      <w:pPr>
        <w:pStyle w:val="Heading1"/>
      </w:pPr>
      <w:bookmarkStart w:id="5" w:name="_Toc149212488"/>
      <w:r>
        <w:t>What</w:t>
      </w:r>
      <w:r w:rsidR="002A3271">
        <w:t xml:space="preserve"> </w:t>
      </w:r>
      <w:r>
        <w:t>we</w:t>
      </w:r>
      <w:r w:rsidR="002A3271">
        <w:t xml:space="preserve"> </w:t>
      </w:r>
      <w:r>
        <w:t>offer</w:t>
      </w:r>
      <w:bookmarkEnd w:id="5"/>
    </w:p>
    <w:p w14:paraId="0DF66CE2" w14:textId="460933A7" w:rsidR="009B1E82" w:rsidRPr="00597802" w:rsidRDefault="009B1E82" w:rsidP="00597802">
      <w:r w:rsidRPr="00597802">
        <w:t>Engaging</w:t>
      </w:r>
      <w:r w:rsidR="002A3271">
        <w:t xml:space="preserve"> </w:t>
      </w:r>
      <w:r w:rsidRPr="00597802">
        <w:t>with</w:t>
      </w:r>
      <w:r w:rsidR="002A3271">
        <w:t xml:space="preserve"> </w:t>
      </w:r>
      <w:r w:rsidRPr="00597802">
        <w:t>global</w:t>
      </w:r>
      <w:r w:rsidR="002A3271">
        <w:t xml:space="preserve"> </w:t>
      </w:r>
      <w:r w:rsidRPr="00597802">
        <w:t>markets</w:t>
      </w:r>
      <w:r w:rsidR="002A3271">
        <w:t xml:space="preserve"> </w:t>
      </w:r>
      <w:r w:rsidRPr="00597802">
        <w:t>is</w:t>
      </w:r>
      <w:r w:rsidR="002A3271">
        <w:t xml:space="preserve"> </w:t>
      </w:r>
      <w:r w:rsidRPr="00597802">
        <w:t>vital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Victoria’s</w:t>
      </w:r>
      <w:r w:rsidR="002A3271">
        <w:t xml:space="preserve"> </w:t>
      </w:r>
      <w:r w:rsidRPr="00597802">
        <w:t>economic</w:t>
      </w:r>
      <w:r w:rsidR="002A3271">
        <w:t xml:space="preserve"> </w:t>
      </w:r>
      <w:r w:rsidRPr="00597802">
        <w:t>growth.</w:t>
      </w:r>
      <w:r w:rsidR="002A3271">
        <w:t xml:space="preserve"> </w:t>
      </w:r>
      <w:r w:rsidRPr="00597802">
        <w:t>Exports,</w:t>
      </w:r>
      <w:r w:rsidR="002A3271">
        <w:t xml:space="preserve"> </w:t>
      </w:r>
      <w:r w:rsidRPr="00597802">
        <w:t>foreign</w:t>
      </w:r>
      <w:r w:rsidR="002A3271">
        <w:t xml:space="preserve"> </w:t>
      </w:r>
      <w:r w:rsidRPr="00597802">
        <w:t>direct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international</w:t>
      </w:r>
      <w:r w:rsidR="002A3271">
        <w:t xml:space="preserve"> </w:t>
      </w:r>
      <w:r w:rsidRPr="00597802">
        <w:t>education</w:t>
      </w:r>
      <w:r w:rsidR="002A3271">
        <w:t xml:space="preserve"> </w:t>
      </w:r>
      <w:r w:rsidRPr="00597802">
        <w:t>are</w:t>
      </w:r>
      <w:r w:rsidR="002A3271">
        <w:t xml:space="preserve"> </w:t>
      </w:r>
      <w:r w:rsidRPr="00597802">
        <w:t>opportunities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new</w:t>
      </w:r>
      <w:r w:rsidR="002A3271">
        <w:t xml:space="preserve"> </w:t>
      </w:r>
      <w:r w:rsidRPr="00597802">
        <w:t>sources</w:t>
      </w:r>
      <w:r w:rsidR="002A3271">
        <w:t xml:space="preserve"> </w:t>
      </w:r>
      <w:r w:rsidRPr="00597802">
        <w:t>of</w:t>
      </w:r>
      <w:r w:rsidR="002A3271">
        <w:t xml:space="preserve"> </w:t>
      </w:r>
      <w:r w:rsidRPr="00597802">
        <w:t>income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capital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create</w:t>
      </w:r>
      <w:r w:rsidR="002A3271">
        <w:t xml:space="preserve"> </w:t>
      </w:r>
      <w:r w:rsidRPr="00597802">
        <w:t>jobs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develop</w:t>
      </w:r>
      <w:r w:rsidR="002A3271">
        <w:t xml:space="preserve"> </w:t>
      </w:r>
      <w:r w:rsidRPr="00597802">
        <w:t>new</w:t>
      </w:r>
      <w:r w:rsidR="002A3271">
        <w:t xml:space="preserve"> </w:t>
      </w:r>
      <w:r w:rsidRPr="00597802">
        <w:t>opportunities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expand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innovate.</w:t>
      </w:r>
    </w:p>
    <w:p w14:paraId="41BBE0C2" w14:textId="41A8A3E6" w:rsidR="009B1E82" w:rsidRDefault="009B1E82" w:rsidP="00597802">
      <w:pPr>
        <w:pStyle w:val="Heading2"/>
      </w:pPr>
      <w:bookmarkStart w:id="6" w:name="_Toc149212489"/>
      <w:r>
        <w:t>Victorian</w:t>
      </w:r>
      <w:r w:rsidR="002A3271">
        <w:t xml:space="preserve"> </w:t>
      </w:r>
      <w:r>
        <w:t>Government</w:t>
      </w:r>
      <w:r w:rsidR="002A3271">
        <w:t xml:space="preserve"> </w:t>
      </w:r>
      <w:r>
        <w:t>Trade</w:t>
      </w:r>
      <w:r w:rsidR="002A3271">
        <w:t xml:space="preserve"> </w:t>
      </w:r>
      <w:r>
        <w:t>and</w:t>
      </w:r>
      <w:r w:rsidR="002A3271">
        <w:t xml:space="preserve"> </w:t>
      </w:r>
      <w:r>
        <w:t>Investment</w:t>
      </w:r>
      <w:r w:rsidR="002A3271">
        <w:t xml:space="preserve"> </w:t>
      </w:r>
      <w:r>
        <w:t>offices</w:t>
      </w:r>
      <w:bookmarkEnd w:id="6"/>
    </w:p>
    <w:p w14:paraId="5FAA5754" w14:textId="58AA9EF0" w:rsidR="009B1E82" w:rsidRPr="00597802" w:rsidRDefault="009B1E82" w:rsidP="00597802">
      <w:r w:rsidRPr="00597802">
        <w:t>The</w:t>
      </w:r>
      <w:r w:rsidR="002A3271">
        <w:t xml:space="preserve"> </w:t>
      </w:r>
      <w:r w:rsidRPr="00597802">
        <w:t>Victorian</w:t>
      </w:r>
      <w:r w:rsidR="002A3271">
        <w:t xml:space="preserve"> </w:t>
      </w:r>
      <w:r w:rsidRPr="00597802">
        <w:t>Government</w:t>
      </w:r>
      <w:r w:rsidR="002A3271">
        <w:t xml:space="preserve"> </w:t>
      </w:r>
      <w:r w:rsidRPr="00597802">
        <w:t>Trade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(VGTI)</w:t>
      </w:r>
      <w:r w:rsidR="002A3271">
        <w:t xml:space="preserve"> </w:t>
      </w:r>
      <w:r w:rsidRPr="00597802">
        <w:t>international</w:t>
      </w:r>
      <w:r w:rsidR="002A3271">
        <w:t xml:space="preserve"> </w:t>
      </w:r>
      <w:r w:rsidRPr="00597802">
        <w:t>network</w:t>
      </w:r>
      <w:r w:rsidR="002A3271">
        <w:t xml:space="preserve"> </w:t>
      </w:r>
      <w:r w:rsidRPr="00597802">
        <w:t>of</w:t>
      </w:r>
      <w:r w:rsidR="002A3271">
        <w:t xml:space="preserve"> </w:t>
      </w:r>
      <w:r w:rsidRPr="00597802">
        <w:t>23</w:t>
      </w:r>
      <w:r w:rsidR="002A3271">
        <w:t xml:space="preserve"> </w:t>
      </w:r>
      <w:r w:rsidRPr="00597802">
        <w:t>offices</w:t>
      </w:r>
      <w:r w:rsidR="002A3271">
        <w:t xml:space="preserve"> </w:t>
      </w:r>
      <w:r w:rsidRPr="00597802">
        <w:t>underpins</w:t>
      </w:r>
      <w:r w:rsidR="002A3271">
        <w:t xml:space="preserve"> </w:t>
      </w:r>
      <w:r w:rsidRPr="00597802">
        <w:t>our</w:t>
      </w:r>
      <w:r w:rsidR="002A3271">
        <w:t xml:space="preserve"> </w:t>
      </w:r>
      <w:r w:rsidRPr="00597802">
        <w:t>efforts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attract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promote</w:t>
      </w:r>
      <w:r w:rsidR="002A3271">
        <w:t xml:space="preserve"> </w:t>
      </w:r>
      <w:r w:rsidRPr="00597802">
        <w:t>trade.</w:t>
      </w:r>
    </w:p>
    <w:p w14:paraId="24E51E17" w14:textId="076BDB0D" w:rsidR="009B1E82" w:rsidRPr="00597802" w:rsidRDefault="009B1E82" w:rsidP="00597802">
      <w:r w:rsidRPr="00597802">
        <w:t>VGTI</w:t>
      </w:r>
      <w:r w:rsidR="002A3271">
        <w:t xml:space="preserve"> </w:t>
      </w:r>
      <w:r w:rsidRPr="00597802">
        <w:t>offices</w:t>
      </w:r>
      <w:r w:rsidR="002A3271">
        <w:t xml:space="preserve"> </w:t>
      </w:r>
      <w:r w:rsidRPr="00597802">
        <w:t>identify</w:t>
      </w:r>
      <w:r w:rsidR="002A3271">
        <w:t xml:space="preserve"> </w:t>
      </w:r>
      <w:r w:rsidRPr="00597802">
        <w:t>prospective</w:t>
      </w:r>
      <w:r w:rsidR="002A3271">
        <w:t xml:space="preserve"> </w:t>
      </w:r>
      <w:r w:rsidRPr="00597802">
        <w:t>new</w:t>
      </w:r>
      <w:r w:rsidR="002A3271">
        <w:t xml:space="preserve"> </w:t>
      </w:r>
      <w:r w:rsidRPr="00597802">
        <w:t>investors,</w:t>
      </w:r>
      <w:r w:rsidR="002A3271">
        <w:t xml:space="preserve"> </w:t>
      </w:r>
      <w:r w:rsidRPr="00597802">
        <w:t>encourage</w:t>
      </w:r>
      <w:r w:rsidR="002A3271">
        <w:t xml:space="preserve"> </w:t>
      </w:r>
      <w:r w:rsidRPr="00597802">
        <w:t>established</w:t>
      </w:r>
      <w:r w:rsidR="002A3271">
        <w:t xml:space="preserve"> </w:t>
      </w:r>
      <w:r w:rsidRPr="00597802">
        <w:t>investors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expand,</w:t>
      </w:r>
      <w:r w:rsidR="002A3271">
        <w:t xml:space="preserve"> </w:t>
      </w:r>
      <w:r w:rsidRPr="00597802">
        <w:t>facilitate</w:t>
      </w:r>
      <w:r w:rsidR="002A3271">
        <w:t xml:space="preserve"> </w:t>
      </w:r>
      <w:r w:rsidRPr="00597802">
        <w:t>exports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promote</w:t>
      </w:r>
      <w:r w:rsidR="002A3271">
        <w:t xml:space="preserve"> </w:t>
      </w:r>
      <w:r w:rsidRPr="00597802">
        <w:t>Victoria</w:t>
      </w:r>
      <w:r w:rsidR="002A3271">
        <w:t xml:space="preserve"> </w:t>
      </w:r>
      <w:r w:rsidRPr="00597802">
        <w:t>as</w:t>
      </w:r>
      <w:r w:rsidR="002A3271">
        <w:t xml:space="preserve"> </w:t>
      </w:r>
      <w:r w:rsidRPr="00597802">
        <w:t>a</w:t>
      </w:r>
      <w:r w:rsidR="002A3271">
        <w:t xml:space="preserve"> </w:t>
      </w:r>
      <w:r w:rsidRPr="00597802">
        <w:t>place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live,</w:t>
      </w:r>
      <w:r w:rsidR="002A3271">
        <w:t xml:space="preserve"> </w:t>
      </w:r>
      <w:r w:rsidRPr="00597802">
        <w:t>study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do</w:t>
      </w:r>
      <w:r w:rsidR="002A3271">
        <w:t xml:space="preserve"> </w:t>
      </w:r>
      <w:r w:rsidRPr="00597802">
        <w:t>business.</w:t>
      </w:r>
    </w:p>
    <w:p w14:paraId="7B546E57" w14:textId="12C7432F" w:rsidR="000A0333" w:rsidRPr="000A0333" w:rsidRDefault="000A0333" w:rsidP="00597802">
      <w:pPr>
        <w:pStyle w:val="Heading1"/>
        <w:rPr>
          <w:lang w:val="en-GB" w:eastAsia="en-GB"/>
        </w:rPr>
      </w:pPr>
      <w:bookmarkStart w:id="7" w:name="_Toc149212490"/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potential</w:t>
      </w:r>
      <w:bookmarkEnd w:id="7"/>
    </w:p>
    <w:p w14:paraId="7119F47E" w14:textId="57FEB119" w:rsidR="000A0333" w:rsidRPr="000A0333" w:rsidRDefault="000A0333" w:rsidP="00597802">
      <w:pPr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tailored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solutions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anticipate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needs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businesses.</w:t>
      </w:r>
    </w:p>
    <w:p w14:paraId="10F71C28" w14:textId="0FC9FE50" w:rsidR="00597802" w:rsidRPr="00597802" w:rsidRDefault="00597802" w:rsidP="00597802">
      <w:pPr>
        <w:pStyle w:val="Heading2"/>
      </w:pPr>
      <w:bookmarkStart w:id="8" w:name="_Toc149212491"/>
      <w:r w:rsidRPr="00597802">
        <w:t>Case</w:t>
      </w:r>
      <w:r w:rsidR="002A3271">
        <w:t xml:space="preserve"> </w:t>
      </w:r>
      <w:r w:rsidRPr="00597802">
        <w:t>study</w:t>
      </w:r>
      <w:r w:rsidR="002A3271">
        <w:t xml:space="preserve"> </w:t>
      </w:r>
      <w:r w:rsidRPr="00597802">
        <w:t>01</w:t>
      </w:r>
      <w:bookmarkEnd w:id="8"/>
      <w:r w:rsidR="002A3271">
        <w:t xml:space="preserve"> </w:t>
      </w:r>
    </w:p>
    <w:p w14:paraId="72FFE8CB" w14:textId="7AD2AD4B" w:rsidR="00597802" w:rsidRPr="000A0333" w:rsidRDefault="00597802" w:rsidP="00597802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PharmSky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builds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Victoria’s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strength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the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biotech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life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sciences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sector</w:t>
      </w:r>
    </w:p>
    <w:p w14:paraId="5E92B1C6" w14:textId="1E56AFC6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start-up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PharmSky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forward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Dandenong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installing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specialised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equipment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research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(R&amp;D).</w:t>
      </w:r>
    </w:p>
    <w:p w14:paraId="3CBAE6DA" w14:textId="16943473" w:rsidR="00597802" w:rsidRPr="000A0333" w:rsidRDefault="002A3271" w:rsidP="00597802">
      <w:pPr>
        <w:rPr>
          <w:lang w:val="en-GB" w:eastAsia="en-GB"/>
        </w:rPr>
      </w:pPr>
      <w:r>
        <w:rPr>
          <w:lang w:val="en-GB" w:eastAsia="en-GB"/>
        </w:rPr>
        <w:lastRenderedPageBreak/>
        <w:t xml:space="preserve"> </w:t>
      </w:r>
      <w:r w:rsidR="00597802" w:rsidRPr="000A0333">
        <w:rPr>
          <w:lang w:val="en-GB" w:eastAsia="en-GB"/>
        </w:rPr>
        <w:t>PharmSky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offers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end-to-end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services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from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R&amp;D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to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product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registration.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It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focuses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on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early-stage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research,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product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development,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analytical,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clinical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trial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manufacture.</w:t>
      </w:r>
      <w:r>
        <w:rPr>
          <w:lang w:val="en-GB" w:eastAsia="en-GB"/>
        </w:rPr>
        <w:t xml:space="preserve"> </w:t>
      </w:r>
    </w:p>
    <w:p w14:paraId="6936FE94" w14:textId="72787E46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joined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2023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conventions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Israel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Korea.</w:t>
      </w:r>
      <w:r w:rsidR="002A3271">
        <w:rPr>
          <w:lang w:val="en-GB" w:eastAsia="en-GB"/>
        </w:rPr>
        <w:t xml:space="preserve"> </w:t>
      </w:r>
    </w:p>
    <w:p w14:paraId="7DD1553E" w14:textId="42E11393" w:rsidR="00597802" w:rsidRPr="00597802" w:rsidRDefault="00597802" w:rsidP="00597802"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PharmSky,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competitive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advantage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biotech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life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sciences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sector.</w:t>
      </w:r>
    </w:p>
    <w:p w14:paraId="3B886D65" w14:textId="4B28A61F" w:rsidR="00597802" w:rsidRPr="000A0333" w:rsidRDefault="00597802" w:rsidP="00597802">
      <w:pPr>
        <w:pStyle w:val="Heading2"/>
        <w:rPr>
          <w:lang w:val="en-GB" w:eastAsia="en-GB"/>
        </w:rPr>
      </w:pPr>
      <w:bookmarkStart w:id="9" w:name="_Toc149212492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02</w:t>
      </w:r>
      <w:bookmarkEnd w:id="9"/>
      <w:r w:rsidR="002A3271">
        <w:rPr>
          <w:lang w:val="en-GB" w:eastAsia="en-GB"/>
        </w:rPr>
        <w:t xml:space="preserve"> </w:t>
      </w:r>
    </w:p>
    <w:p w14:paraId="7BD97FDF" w14:textId="3B2B3C9C" w:rsidR="00597802" w:rsidRPr="000A0333" w:rsidRDefault="00597802" w:rsidP="00597802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Advanced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Air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Mobility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highlights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opportunities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aviation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advanced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manufacturing</w:t>
      </w:r>
    </w:p>
    <w:p w14:paraId="620B9974" w14:textId="300C2E6D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Advanced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Mobility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(AAM)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electric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aviation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promise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transformational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logistics,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emergency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connectivity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passenger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transport.</w:t>
      </w:r>
    </w:p>
    <w:p w14:paraId="720AD253" w14:textId="326990E3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2023,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Minister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inaugural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Display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2023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Avalon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Airshow.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latest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zero-emission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aircraft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buyers,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agencies.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raised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community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awareness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benefits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electric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aviation.</w:t>
      </w:r>
      <w:r w:rsidR="002A3271">
        <w:rPr>
          <w:lang w:val="en-GB" w:eastAsia="en-GB"/>
        </w:rPr>
        <w:t xml:space="preserve"> </w:t>
      </w:r>
    </w:p>
    <w:p w14:paraId="2433BC88" w14:textId="5D3CD7D5" w:rsidR="00597802" w:rsidRPr="00597802" w:rsidRDefault="00597802" w:rsidP="00597802"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transformational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aviation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electric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engines,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hydrogen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cells,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batteries,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advanced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manufacturing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capacity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logistics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services.</w:t>
      </w:r>
      <w:r w:rsidR="002A3271">
        <w:rPr>
          <w:lang w:val="en-GB" w:eastAsia="en-GB"/>
        </w:rPr>
        <w:t xml:space="preserve"> </w:t>
      </w:r>
    </w:p>
    <w:p w14:paraId="466A566C" w14:textId="26F75673" w:rsidR="00597802" w:rsidRPr="00597802" w:rsidRDefault="00597802" w:rsidP="00597802">
      <w:pPr>
        <w:pStyle w:val="Heading2"/>
      </w:pPr>
      <w:bookmarkStart w:id="10" w:name="_Toc149212493"/>
      <w:r w:rsidRPr="00597802">
        <w:t>Case</w:t>
      </w:r>
      <w:r w:rsidR="002A3271">
        <w:t xml:space="preserve"> </w:t>
      </w:r>
      <w:r w:rsidRPr="00597802">
        <w:t>study</w:t>
      </w:r>
      <w:r w:rsidR="002A3271">
        <w:t xml:space="preserve"> </w:t>
      </w:r>
      <w:r w:rsidRPr="00597802">
        <w:t>03</w:t>
      </w:r>
      <w:bookmarkEnd w:id="10"/>
      <w:r w:rsidR="002A3271">
        <w:t xml:space="preserve"> </w:t>
      </w:r>
    </w:p>
    <w:p w14:paraId="788246E2" w14:textId="2939B4B5" w:rsidR="00597802" w:rsidRPr="000A0333" w:rsidRDefault="00597802" w:rsidP="00597802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Hardcat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launches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enterprise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solution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India</w:t>
      </w:r>
    </w:p>
    <w:p w14:paraId="38E645F0" w14:textId="08EE6FD5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Founded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1986,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Hardcat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evidence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significant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wholly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owned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subsidiaries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Africa.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Hardcat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extended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data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centre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Yotta,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Hiranandani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Group.</w:t>
      </w:r>
      <w:r w:rsidR="002A3271">
        <w:rPr>
          <w:lang w:val="en-GB" w:eastAsia="en-GB"/>
        </w:rPr>
        <w:t xml:space="preserve"> </w:t>
      </w:r>
    </w:p>
    <w:p w14:paraId="7515C926" w14:textId="2801FE86" w:rsidR="00597802" w:rsidRPr="00597802" w:rsidRDefault="00597802" w:rsidP="00597802"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Bengaluru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Hardcat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entering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introductions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potential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customers.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introductions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advisors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formation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commercial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contracts.</w:t>
      </w:r>
    </w:p>
    <w:p w14:paraId="68A990D6" w14:textId="3656A7AF" w:rsidR="00DB6906" w:rsidRPr="000A0333" w:rsidRDefault="00DB6906" w:rsidP="00DB6906">
      <w:pPr>
        <w:pStyle w:val="Heading2"/>
        <w:rPr>
          <w:lang w:val="en-GB" w:eastAsia="en-GB"/>
        </w:rPr>
      </w:pPr>
      <w:bookmarkStart w:id="11" w:name="_Toc149212494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04</w:t>
      </w:r>
      <w:bookmarkEnd w:id="11"/>
      <w:r w:rsidR="002A3271">
        <w:rPr>
          <w:lang w:val="en-GB" w:eastAsia="en-GB"/>
        </w:rPr>
        <w:t xml:space="preserve"> </w:t>
      </w:r>
    </w:p>
    <w:p w14:paraId="4C26446C" w14:textId="1110B410" w:rsidR="00DB6906" w:rsidRPr="000A0333" w:rsidRDefault="00DB6906" w:rsidP="00DB6906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Ørsted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establishes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green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energy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solutions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Victoria</w:t>
      </w:r>
    </w:p>
    <w:p w14:paraId="731BC58A" w14:textId="795F87FD" w:rsidR="00DB6906" w:rsidRPr="000A0333" w:rsidRDefault="00DB6906" w:rsidP="00DB6906">
      <w:pPr>
        <w:rPr>
          <w:lang w:val="en-GB" w:eastAsia="en-GB"/>
        </w:rPr>
      </w:pPr>
      <w:r w:rsidRPr="000A0333">
        <w:rPr>
          <w:lang w:val="en-GB" w:eastAsia="en-GB"/>
        </w:rPr>
        <w:t>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Denmark,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Ørsted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farm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1991.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Today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close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7,000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people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quarter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turbines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installed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Ørsted.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views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where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expertise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significant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impact.</w:t>
      </w:r>
    </w:p>
    <w:p w14:paraId="0B7624F7" w14:textId="32645A8A" w:rsidR="00DB6906" w:rsidRPr="00DB6906" w:rsidRDefault="00DB6906" w:rsidP="00DB6906">
      <w:r w:rsidRPr="000A0333">
        <w:rPr>
          <w:lang w:val="en-GB" w:eastAsia="en-GB"/>
        </w:rPr>
        <w:lastRenderedPageBreak/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London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relationship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Ørsted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2017,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culminating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Ørsted’s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decision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steer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locally.</w:t>
      </w:r>
    </w:p>
    <w:p w14:paraId="4FA3E31C" w14:textId="3BE94B2D" w:rsidR="000A0333" w:rsidRPr="000A0333" w:rsidRDefault="000A0333" w:rsidP="00DB6906">
      <w:pPr>
        <w:pStyle w:val="Heading1"/>
        <w:rPr>
          <w:lang w:val="en-GB" w:eastAsia="en-GB"/>
        </w:rPr>
      </w:pPr>
      <w:bookmarkStart w:id="12" w:name="_Toc149212495"/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bookmarkEnd w:id="12"/>
    </w:p>
    <w:p w14:paraId="5D4C77EC" w14:textId="2C44E699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suite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journey.</w:t>
      </w:r>
    </w:p>
    <w:p w14:paraId="59A16EE7" w14:textId="0EB1E948" w:rsidR="000A0333" w:rsidRPr="000A0333" w:rsidRDefault="000A0333" w:rsidP="00DB6906">
      <w:pPr>
        <w:pStyle w:val="Heading2"/>
        <w:rPr>
          <w:lang w:val="en-GB" w:eastAsia="en-GB"/>
        </w:rPr>
      </w:pPr>
      <w:bookmarkStart w:id="13" w:name="_Toc149212496"/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facilitation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promotion</w:t>
      </w:r>
      <w:bookmarkEnd w:id="13"/>
    </w:p>
    <w:p w14:paraId="2128696A" w14:textId="1FC8FE9E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Maintaining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traditional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emerging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enables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Victorian-based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resilient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changes.</w:t>
      </w:r>
    </w:p>
    <w:p w14:paraId="2660C4A7" w14:textId="2725A65F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dedicated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specialists,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we’re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committed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potential.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following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network:</w:t>
      </w:r>
    </w:p>
    <w:p w14:paraId="3E8CD116" w14:textId="7A4EA956" w:rsidR="00DB6906" w:rsidRPr="000A0333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One-on-one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</w:p>
    <w:p w14:paraId="3B3E159B" w14:textId="73E771D9" w:rsidR="00DB6906" w:rsidRPr="00DB6906" w:rsidRDefault="00DB6906" w:rsidP="00DB6906"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people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right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specialists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priority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markets.</w:t>
      </w:r>
    </w:p>
    <w:p w14:paraId="57CFA244" w14:textId="30E63574" w:rsidR="00DB6906" w:rsidRPr="000A0333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Skills,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intelligence</w:t>
      </w:r>
    </w:p>
    <w:p w14:paraId="5390E511" w14:textId="2A6AE8BB" w:rsidR="00DB6906" w:rsidRPr="00DB6906" w:rsidRDefault="00DB6906" w:rsidP="00DB6906"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people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knowledge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ambitions.</w:t>
      </w:r>
    </w:p>
    <w:p w14:paraId="78B09942" w14:textId="5B981CA5" w:rsidR="00DB6906" w:rsidRPr="000A0333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Leveraging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connections</w:t>
      </w:r>
    </w:p>
    <w:p w14:paraId="29F4823F" w14:textId="0F76B84A" w:rsidR="00DB6906" w:rsidRPr="000A0333" w:rsidRDefault="00DB6906" w:rsidP="00DB6906">
      <w:pPr>
        <w:rPr>
          <w:lang w:val="en-GB" w:eastAsia="en-GB"/>
        </w:rPr>
      </w:pPr>
      <w:r w:rsidRPr="000A0333">
        <w:rPr>
          <w:lang w:val="en-GB" w:eastAsia="en-GB"/>
        </w:rPr>
        <w:t>introducing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peak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bodies,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associations,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chambers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commerce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consular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corps.</w:t>
      </w:r>
      <w:r w:rsidR="002A3271">
        <w:rPr>
          <w:lang w:val="en-GB" w:eastAsia="en-GB"/>
        </w:rPr>
        <w:t xml:space="preserve"> </w:t>
      </w:r>
    </w:p>
    <w:p w14:paraId="24357BBD" w14:textId="7BE7062C" w:rsidR="00DB6906" w:rsidRPr="00DB6906" w:rsidRDefault="00DB6906" w:rsidP="00DB6906"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leverage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world-class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cultural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decision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makers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dynamic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offering.</w:t>
      </w:r>
    </w:p>
    <w:p w14:paraId="7E4CC4D9" w14:textId="3A4218AE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already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successfully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worldwide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industries.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annual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exceeding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$40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billion,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platform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80%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spread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sectors:</w:t>
      </w:r>
    </w:p>
    <w:p w14:paraId="538D2735" w14:textId="3963FC32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medical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pharmaceuticals</w:t>
      </w:r>
    </w:p>
    <w:p w14:paraId="69260EE4" w14:textId="0EBD7ACB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energy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technology</w:t>
      </w:r>
    </w:p>
    <w:p w14:paraId="74163D95" w14:textId="3C9F09D0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fibre</w:t>
      </w:r>
    </w:p>
    <w:p w14:paraId="14456788" w14:textId="3A4FFAA1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transport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</w:p>
    <w:p w14:paraId="45A17D2F" w14:textId="2B74A440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defence</w:t>
      </w:r>
    </w:p>
    <w:p w14:paraId="5F4C576D" w14:textId="4C5B22B5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lastRenderedPageBreak/>
        <w:t>construction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</w:p>
    <w:p w14:paraId="0EC2EB42" w14:textId="033AE964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</w:p>
    <w:p w14:paraId="66C803B6" w14:textId="702F20DA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cyber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security</w:t>
      </w:r>
    </w:p>
    <w:p w14:paraId="22435AED" w14:textId="721E12ED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fintech</w:t>
      </w:r>
    </w:p>
    <w:p w14:paraId="0D03E89A" w14:textId="7D738EE0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professional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</w:p>
    <w:p w14:paraId="47822E53" w14:textId="2113CB54" w:rsidR="000A0333" w:rsidRPr="000A0333" w:rsidRDefault="000A0333" w:rsidP="00DB6906">
      <w:pPr>
        <w:pStyle w:val="Heading2"/>
        <w:rPr>
          <w:lang w:val="en-GB" w:eastAsia="en-GB"/>
        </w:rPr>
      </w:pPr>
      <w:bookmarkStart w:id="14" w:name="_Toc149212497"/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exploration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bookmarkEnd w:id="14"/>
    </w:p>
    <w:p w14:paraId="6837F919" w14:textId="7D1E757C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outbound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clients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explore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understand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buyers,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leaders.</w:t>
      </w:r>
    </w:p>
    <w:p w14:paraId="465C10D8" w14:textId="3420A2C8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Inbound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welcome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buyers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foundations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partnerships.</w:t>
      </w:r>
    </w:p>
    <w:p w14:paraId="54FF035D" w14:textId="37753CEC" w:rsidR="000A0333" w:rsidRPr="00DB6906" w:rsidRDefault="000A0333" w:rsidP="00DB6906">
      <w:pPr>
        <w:pStyle w:val="Heading2"/>
      </w:pPr>
      <w:bookmarkStart w:id="15" w:name="_Toc149212498"/>
      <w:r w:rsidRPr="00DB6906">
        <w:t>Access</w:t>
      </w:r>
      <w:r w:rsidR="002A3271">
        <w:t xml:space="preserve"> </w:t>
      </w:r>
      <w:r w:rsidRPr="00DB6906">
        <w:t>program</w:t>
      </w:r>
      <w:bookmarkEnd w:id="15"/>
    </w:p>
    <w:p w14:paraId="5630D8E8" w14:textId="11FFC03B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export-related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assistance,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in-country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knowledge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overseas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markets.</w:t>
      </w:r>
    </w:p>
    <w:p w14:paraId="2AFE191E" w14:textId="5911F029" w:rsidR="000A0333" w:rsidRPr="000A0333" w:rsidRDefault="000A0333" w:rsidP="00DB6906">
      <w:pPr>
        <w:pStyle w:val="Heading2"/>
        <w:rPr>
          <w:lang w:val="en-GB" w:eastAsia="en-GB"/>
        </w:rPr>
      </w:pPr>
      <w:bookmarkStart w:id="16" w:name="_Toc149212499"/>
      <w:r w:rsidRPr="000A0333">
        <w:rPr>
          <w:lang w:val="en-GB" w:eastAsia="en-GB"/>
        </w:rPr>
        <w:t>Promoting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capabilities</w:t>
      </w:r>
      <w:bookmarkEnd w:id="16"/>
    </w:p>
    <w:p w14:paraId="71166FC2" w14:textId="261A5D96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Awards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platform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creativity,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resilience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capabilities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community.</w:t>
      </w:r>
    </w:p>
    <w:p w14:paraId="04CA59D8" w14:textId="38F6551F" w:rsidR="000A0333" w:rsidRPr="00DB6906" w:rsidRDefault="000A0333" w:rsidP="00DB6906">
      <w:pPr>
        <w:pStyle w:val="Heading2"/>
      </w:pPr>
      <w:bookmarkStart w:id="17" w:name="_Toc149212500"/>
      <w:r w:rsidRPr="00DB6906">
        <w:t>Global</w:t>
      </w:r>
      <w:r w:rsidR="002A3271">
        <w:t xml:space="preserve"> </w:t>
      </w:r>
      <w:r w:rsidRPr="00DB6906">
        <w:t>Victoria</w:t>
      </w:r>
      <w:r w:rsidR="002A3271">
        <w:t xml:space="preserve"> </w:t>
      </w:r>
      <w:r w:rsidRPr="00DB6906">
        <w:t>Women</w:t>
      </w:r>
      <w:bookmarkEnd w:id="17"/>
    </w:p>
    <w:p w14:paraId="61E56A64" w14:textId="33FA412C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Women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(GVw)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reduce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barriers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enable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women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participate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trade.</w:t>
      </w:r>
    </w:p>
    <w:p w14:paraId="4D238ABA" w14:textId="6491F117" w:rsidR="00DB6906" w:rsidRPr="000A0333" w:rsidRDefault="00DB6906" w:rsidP="00DB6906">
      <w:pPr>
        <w:pStyle w:val="Heading2"/>
        <w:rPr>
          <w:lang w:val="en-GB" w:eastAsia="en-GB"/>
        </w:rPr>
      </w:pPr>
      <w:bookmarkStart w:id="18" w:name="_Toc149212501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05</w:t>
      </w:r>
      <w:bookmarkEnd w:id="18"/>
      <w:r w:rsidR="002A3271">
        <w:rPr>
          <w:lang w:val="en-GB" w:eastAsia="en-GB"/>
        </w:rPr>
        <w:t xml:space="preserve"> </w:t>
      </w:r>
    </w:p>
    <w:p w14:paraId="678DD989" w14:textId="5C991CC8" w:rsidR="00DB6906" w:rsidRPr="000A0333" w:rsidRDefault="00DB6906" w:rsidP="00DB6906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That’s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Amore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Cheese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wins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the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hearts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of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food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lovers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Asian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markets</w:t>
      </w:r>
    </w:p>
    <w:p w14:paraId="47DF400D" w14:textId="3D98831E" w:rsidR="00DB6906" w:rsidRPr="000A0333" w:rsidRDefault="00DB6906" w:rsidP="00DB6906">
      <w:pPr>
        <w:rPr>
          <w:lang w:val="en-GB" w:eastAsia="en-GB"/>
        </w:rPr>
      </w:pPr>
      <w:r w:rsidRPr="000A0333">
        <w:rPr>
          <w:lang w:val="en-GB" w:eastAsia="en-GB"/>
        </w:rPr>
        <w:t>Founded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2008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passionate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artisanal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cheesemaker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immigrant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Giorgio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Linguanti,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manufactures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Italian-style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cheeses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factory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Whittlesea.</w:t>
      </w:r>
      <w:r w:rsidR="002A3271">
        <w:rPr>
          <w:lang w:val="en-GB" w:eastAsia="en-GB"/>
        </w:rPr>
        <w:t xml:space="preserve"> </w:t>
      </w:r>
    </w:p>
    <w:p w14:paraId="5AA9000C" w14:textId="501F48A4" w:rsidR="00DB6906" w:rsidRPr="00DB6906" w:rsidRDefault="00DB6906" w:rsidP="00DB6906"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aspirations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years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products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potential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overseas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buyers.</w:t>
      </w:r>
      <w:r w:rsidR="002A3271">
        <w:rPr>
          <w:lang w:val="en-GB" w:eastAsia="en-GB"/>
        </w:rPr>
        <w:t xml:space="preserve"> </w:t>
      </w:r>
    </w:p>
    <w:p w14:paraId="2073B796" w14:textId="1A0D523A" w:rsidR="00DB6906" w:rsidRPr="000A0333" w:rsidRDefault="00DB6906" w:rsidP="00DB6906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participated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Gulfood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Dubai,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Hotel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Asia,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Hotel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Vietnam,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Foodex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Japan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China.</w:t>
      </w:r>
      <w:r w:rsidR="002A3271">
        <w:rPr>
          <w:lang w:val="en-GB" w:eastAsia="en-GB"/>
        </w:rPr>
        <w:t xml:space="preserve"> </w:t>
      </w:r>
    </w:p>
    <w:p w14:paraId="1256A633" w14:textId="040B54C9" w:rsidR="00DB6906" w:rsidRPr="00DB6906" w:rsidRDefault="00DB6906" w:rsidP="00DB6906">
      <w:r w:rsidRPr="000A0333">
        <w:rPr>
          <w:lang w:val="en-GB" w:eastAsia="en-GB"/>
        </w:rPr>
        <w:lastRenderedPageBreak/>
        <w:t>This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played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Singapore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Korea.</w:t>
      </w:r>
    </w:p>
    <w:p w14:paraId="05EBA6ED" w14:textId="09EDBA00" w:rsidR="000A0333" w:rsidRPr="000A0333" w:rsidRDefault="000A0333" w:rsidP="00DB6906">
      <w:pPr>
        <w:pStyle w:val="Heading2"/>
        <w:rPr>
          <w:lang w:val="en-GB" w:eastAsia="en-GB"/>
        </w:rPr>
      </w:pPr>
      <w:bookmarkStart w:id="19" w:name="_Toc149212502"/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  <w:bookmarkEnd w:id="19"/>
    </w:p>
    <w:p w14:paraId="41EC63E8" w14:textId="045BD54F" w:rsidR="00DB6906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achievements</w:t>
      </w:r>
    </w:p>
    <w:p w14:paraId="77632C95" w14:textId="51CC85DA" w:rsidR="00434D23" w:rsidRPr="00434D23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Generated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$704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sales,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exceeding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target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$550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million.</w:t>
      </w:r>
    </w:p>
    <w:p w14:paraId="32B240D2" w14:textId="602B65F9" w:rsidR="00434D23" w:rsidRPr="00434D23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3,084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clients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programs.</w:t>
      </w:r>
    </w:p>
    <w:p w14:paraId="7B6D9951" w14:textId="0D7A09DB" w:rsidR="00434D23" w:rsidRPr="00434D23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95%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client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assistance.</w:t>
      </w:r>
    </w:p>
    <w:p w14:paraId="369FC13F" w14:textId="0C3AC307" w:rsidR="00434D23" w:rsidRPr="00434D23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Gateway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180+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stabilise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recover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during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COVID-19.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generated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$124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sales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$37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this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financial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year.</w:t>
      </w:r>
    </w:p>
    <w:p w14:paraId="4F578889" w14:textId="23B8CA5B" w:rsidR="00DB6906" w:rsidRPr="00DB6906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48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missions,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645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markets.</w:t>
      </w:r>
    </w:p>
    <w:p w14:paraId="24C1A11C" w14:textId="7356CAD0" w:rsidR="00DB6906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Targets</w:t>
      </w:r>
    </w:p>
    <w:p w14:paraId="44844166" w14:textId="6B0B48C8" w:rsidR="001010AF" w:rsidRPr="006A54F0" w:rsidRDefault="00434D23" w:rsidP="001010AF">
      <w:pPr>
        <w:rPr>
          <w:b/>
          <w:bCs/>
          <w:lang w:val="en-GB" w:eastAsia="en-GB"/>
        </w:rPr>
      </w:pPr>
      <w:r w:rsidRPr="006A54F0">
        <w:rPr>
          <w:b/>
          <w:bCs/>
          <w:lang w:val="en-GB" w:eastAsia="en-GB"/>
        </w:rPr>
        <w:t>Number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of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Victorian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companies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assisted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by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wine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industry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initiatives</w:t>
      </w:r>
    </w:p>
    <w:p w14:paraId="65C341D0" w14:textId="275B3D9C" w:rsidR="006A54F0" w:rsidRPr="006A54F0" w:rsidRDefault="006A54F0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Targets</w:t>
      </w:r>
      <w:r>
        <w:rPr>
          <w:lang w:val="en-GB" w:eastAsia="en-GB"/>
        </w:rPr>
        <w:tab/>
        <w:t>60</w:t>
      </w:r>
    </w:p>
    <w:p w14:paraId="7FFE75D0" w14:textId="6DD650A8" w:rsidR="00434D23" w:rsidRDefault="006A54F0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95</w:t>
      </w:r>
    </w:p>
    <w:p w14:paraId="2D80BB70" w14:textId="3BD483A8" w:rsidR="00434D23" w:rsidRPr="006A54F0" w:rsidRDefault="00434D23" w:rsidP="00727994">
      <w:pPr>
        <w:tabs>
          <w:tab w:val="left" w:pos="2268"/>
        </w:tabs>
        <w:rPr>
          <w:b/>
          <w:bCs/>
          <w:lang w:val="en-GB" w:eastAsia="en-GB"/>
        </w:rPr>
      </w:pPr>
      <w:r w:rsidRPr="006A54F0">
        <w:rPr>
          <w:b/>
          <w:bCs/>
          <w:lang w:val="en-GB" w:eastAsia="en-GB"/>
        </w:rPr>
        <w:t>Interactions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with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Victorian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agri-food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companies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exporters</w:t>
      </w:r>
    </w:p>
    <w:p w14:paraId="462D56EE" w14:textId="28EBC33A" w:rsidR="006A54F0" w:rsidRPr="006A54F0" w:rsidRDefault="006A54F0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Targets</w:t>
      </w:r>
      <w:r>
        <w:rPr>
          <w:lang w:val="en-GB" w:eastAsia="en-GB"/>
        </w:rPr>
        <w:tab/>
        <w:t>250</w:t>
      </w:r>
    </w:p>
    <w:p w14:paraId="546CBDCE" w14:textId="372114F2" w:rsidR="006A54F0" w:rsidRDefault="006A54F0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333</w:t>
      </w:r>
    </w:p>
    <w:p w14:paraId="5F55ADF3" w14:textId="651D9107" w:rsidR="00DB6906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highlights</w:t>
      </w:r>
    </w:p>
    <w:p w14:paraId="36B47DA6" w14:textId="292796A1" w:rsidR="00DB6906" w:rsidRPr="000A0333" w:rsidRDefault="00DB6906" w:rsidP="00DB6906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capability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initiatives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650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clients.</w:t>
      </w:r>
    </w:p>
    <w:p w14:paraId="4545210C" w14:textId="0FFE2F0D" w:rsidR="00DB6906" w:rsidRPr="000A0333" w:rsidRDefault="00DB6906" w:rsidP="00DB6906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Managed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hosting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major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3,400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clients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stakeholders.</w:t>
      </w:r>
    </w:p>
    <w:p w14:paraId="081197BD" w14:textId="1991EA5E" w:rsidR="00DB6906" w:rsidRPr="000A0333" w:rsidRDefault="00DB6906" w:rsidP="00DB6906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DB6906">
        <w:rPr>
          <w:i/>
          <w:iCs/>
        </w:rPr>
        <w:t>Global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Victoria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=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Your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Export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Partner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–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document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outlining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available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looking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markets.</w:t>
      </w:r>
    </w:p>
    <w:p w14:paraId="6E9F8302" w14:textId="0357C867" w:rsidR="006A54F0" w:rsidRPr="000A0333" w:rsidRDefault="006A54F0" w:rsidP="006A54F0">
      <w:pPr>
        <w:pStyle w:val="Heading2"/>
        <w:rPr>
          <w:lang w:val="en-GB" w:eastAsia="en-GB"/>
        </w:rPr>
      </w:pPr>
      <w:bookmarkStart w:id="20" w:name="_Toc149212503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06</w:t>
      </w:r>
      <w:bookmarkEnd w:id="20"/>
    </w:p>
    <w:p w14:paraId="7871D038" w14:textId="24B357C2" w:rsidR="006A54F0" w:rsidRPr="000A0333" w:rsidRDefault="006A54F0" w:rsidP="006A54F0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Smart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Pension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leverages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Melbourne’s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thriving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fintech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sector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to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deliver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digital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innovations</w:t>
      </w:r>
    </w:p>
    <w:p w14:paraId="414DF525" w14:textId="258B04ED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lastRenderedPageBreak/>
        <w:t>Smart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Pension,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world-leading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financial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firm,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retirement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savings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customers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internationally.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backed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J.P.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Morgan,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Barclays,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Legal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&amp;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General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Management,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Link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Chrysalis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Investments.</w:t>
      </w:r>
    </w:p>
    <w:p w14:paraId="66C26F92" w14:textId="2665BE9F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t>Smart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Pension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chose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booming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base,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where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advanced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retirement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savings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solutions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country.</w:t>
      </w:r>
    </w:p>
    <w:p w14:paraId="4C3F19CB" w14:textId="4DDC1835" w:rsidR="006A54F0" w:rsidRPr="006A54F0" w:rsidRDefault="006A54F0" w:rsidP="006A54F0"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guidance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London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Smart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Pension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chose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because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booming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sector.</w:t>
      </w:r>
    </w:p>
    <w:p w14:paraId="48E0789F" w14:textId="63E83878" w:rsidR="006A54F0" w:rsidRPr="000A0333" w:rsidRDefault="006A54F0" w:rsidP="006A54F0">
      <w:pPr>
        <w:pStyle w:val="Heading2"/>
        <w:rPr>
          <w:lang w:val="en-GB" w:eastAsia="en-GB"/>
        </w:rPr>
      </w:pPr>
      <w:bookmarkStart w:id="21" w:name="_Toc149212504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07</w:t>
      </w:r>
      <w:bookmarkEnd w:id="21"/>
      <w:r w:rsidR="002A3271">
        <w:rPr>
          <w:lang w:val="en-GB" w:eastAsia="en-GB"/>
        </w:rPr>
        <w:t xml:space="preserve"> </w:t>
      </w:r>
    </w:p>
    <w:p w14:paraId="668053AF" w14:textId="7EEAC90B" w:rsidR="006A54F0" w:rsidRPr="000A0333" w:rsidRDefault="006A54F0" w:rsidP="006A54F0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UST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selects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Melbourne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for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tech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talent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thriving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higher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education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sector</w:t>
      </w:r>
    </w:p>
    <w:p w14:paraId="64175E4D" w14:textId="6CBF3DBD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headquarters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transformation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years.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employees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countries,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recently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Melbourne.</w:t>
      </w:r>
    </w:p>
    <w:p w14:paraId="6F89A83B" w14:textId="71B304F5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relocate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ANZ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headquarters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Sydney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thriving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produces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graduates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multicultural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cosmopolitan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lifestyle,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believes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make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easier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retain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employees.</w:t>
      </w:r>
    </w:p>
    <w:p w14:paraId="0F07CDBB" w14:textId="40E1559B" w:rsidR="006A54F0" w:rsidRPr="006A54F0" w:rsidRDefault="006A54F0" w:rsidP="006A54F0">
      <w:r w:rsidRPr="000A0333">
        <w:rPr>
          <w:lang w:val="en-GB" w:eastAsia="en-GB"/>
        </w:rPr>
        <w:t>UST’s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precincts.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brings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together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data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science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knowledge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solutions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society’s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biggest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problems.</w:t>
      </w:r>
    </w:p>
    <w:p w14:paraId="396C40CC" w14:textId="42B37BFA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played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crucial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introductions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selection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operational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setup.</w:t>
      </w:r>
    </w:p>
    <w:p w14:paraId="08FE9EFD" w14:textId="2DC68D13" w:rsidR="006A54F0" w:rsidRPr="006A54F0" w:rsidRDefault="006A54F0" w:rsidP="006A54F0"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integrate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community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representatives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valuable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networks.</w:t>
      </w:r>
    </w:p>
    <w:p w14:paraId="331384B0" w14:textId="7983E087" w:rsidR="000A0333" w:rsidRPr="000A0333" w:rsidRDefault="000A0333" w:rsidP="006A54F0">
      <w:pPr>
        <w:pStyle w:val="Heading1"/>
        <w:rPr>
          <w:lang w:val="en-GB" w:eastAsia="en-GB"/>
        </w:rPr>
      </w:pPr>
      <w:bookmarkStart w:id="22" w:name="_Toc149212505"/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bookmarkEnd w:id="22"/>
    </w:p>
    <w:p w14:paraId="0ED61B1F" w14:textId="314D1AA1" w:rsidR="000A0333" w:rsidRPr="000A0333" w:rsidRDefault="000A0333" w:rsidP="006A54F0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tailored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region.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identify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locations,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partners.</w:t>
      </w:r>
    </w:p>
    <w:p w14:paraId="63C66A58" w14:textId="22C48324" w:rsidR="000A0333" w:rsidRPr="00633F46" w:rsidRDefault="000A0333" w:rsidP="00633F46">
      <w:pPr>
        <w:pStyle w:val="Heading2"/>
      </w:pPr>
      <w:bookmarkStart w:id="23" w:name="_Toc149212506"/>
      <w:r w:rsidRPr="00633F46">
        <w:t>Investment</w:t>
      </w:r>
      <w:r w:rsidR="002A3271" w:rsidRPr="00633F46">
        <w:t xml:space="preserve"> </w:t>
      </w:r>
      <w:r w:rsidRPr="00633F46">
        <w:t>attraction</w:t>
      </w:r>
      <w:r w:rsidR="002A3271" w:rsidRPr="00633F46">
        <w:t xml:space="preserve"> </w:t>
      </w:r>
      <w:r w:rsidRPr="00633F46">
        <w:t>and</w:t>
      </w:r>
      <w:r w:rsidR="002A3271" w:rsidRPr="00633F46">
        <w:t xml:space="preserve"> </w:t>
      </w:r>
      <w:r w:rsidRPr="00633F46">
        <w:t>facilitation</w:t>
      </w:r>
      <w:bookmarkEnd w:id="23"/>
    </w:p>
    <w:p w14:paraId="4DEA95FF" w14:textId="7637D8CA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extensive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bespoke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undertake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due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diligence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approval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processes.</w:t>
      </w:r>
    </w:p>
    <w:p w14:paraId="3B894449" w14:textId="7F8E1DA6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include:</w:t>
      </w:r>
    </w:p>
    <w:p w14:paraId="1C0D6689" w14:textId="00A32E5E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lastRenderedPageBreak/>
        <w:t>identifying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properties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thorough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understanding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controls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infrastructure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skills</w:t>
      </w:r>
    </w:p>
    <w:p w14:paraId="49234A38" w14:textId="65B0871B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decisions</w:t>
      </w:r>
    </w:p>
    <w:p w14:paraId="69E325E0" w14:textId="73AE3C75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advising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coordinating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approvals</w:t>
      </w:r>
    </w:p>
    <w:p w14:paraId="4A30F2EB" w14:textId="3B75B3A9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workforce</w:t>
      </w:r>
    </w:p>
    <w:p w14:paraId="52E3F477" w14:textId="185F6931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matching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R&amp;D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knowledge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institutes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ideas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</w:p>
    <w:p w14:paraId="0E2663EF" w14:textId="0C85388F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departments,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agencies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regulators,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incentives,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programs.</w:t>
      </w:r>
    </w:p>
    <w:p w14:paraId="7D912167" w14:textId="471BC71E" w:rsidR="000A0333" w:rsidRPr="000A0333" w:rsidRDefault="000A0333" w:rsidP="00285B13">
      <w:pPr>
        <w:pStyle w:val="Heading2"/>
        <w:rPr>
          <w:lang w:val="en-GB" w:eastAsia="en-GB"/>
        </w:rPr>
      </w:pPr>
      <w:bookmarkStart w:id="24" w:name="_Toc149212507"/>
      <w:r w:rsidRPr="000A0333">
        <w:rPr>
          <w:lang w:val="en-GB" w:eastAsia="en-GB"/>
        </w:rPr>
        <w:t>Venture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bookmarkEnd w:id="24"/>
    </w:p>
    <w:p w14:paraId="43BB68B9" w14:textId="185F0D1C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$25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Venture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high-growth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startups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venture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debt,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matched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private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Lighter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OneVentures,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fund.</w:t>
      </w:r>
    </w:p>
    <w:p w14:paraId="07AD683D" w14:textId="04564E07" w:rsidR="000A0333" w:rsidRPr="000A0333" w:rsidRDefault="000A0333" w:rsidP="00285B13">
      <w:pPr>
        <w:pStyle w:val="Heading2"/>
        <w:rPr>
          <w:lang w:val="en-GB" w:eastAsia="en-GB"/>
        </w:rPr>
      </w:pPr>
      <w:bookmarkStart w:id="25" w:name="_Toc149212508"/>
      <w:r w:rsidRPr="000A0333">
        <w:rPr>
          <w:lang w:val="en-GB" w:eastAsia="en-GB"/>
        </w:rPr>
        <w:t>Equity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bookmarkEnd w:id="25"/>
    </w:p>
    <w:p w14:paraId="22849646" w14:textId="56114A9F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$20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Equity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stories.</w:t>
      </w:r>
    </w:p>
    <w:p w14:paraId="5385B20D" w14:textId="60C5E2F9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Targeting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interstate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primarily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start-ups,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high-skilled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4B0C8685" w14:textId="0B224CE1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round,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injecting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equity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early-stage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return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minority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ownership.</w:t>
      </w:r>
    </w:p>
    <w:p w14:paraId="3A918870" w14:textId="3A6581CC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direct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equity-based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finance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Government.</w:t>
      </w:r>
    </w:p>
    <w:p w14:paraId="7C2C0EA5" w14:textId="728C5DAF" w:rsidR="000A0333" w:rsidRPr="000A0333" w:rsidRDefault="000A0333" w:rsidP="00285B13">
      <w:pPr>
        <w:pStyle w:val="Heading2"/>
        <w:rPr>
          <w:lang w:val="en-GB" w:eastAsia="en-GB"/>
        </w:rPr>
      </w:pPr>
      <w:bookmarkStart w:id="26" w:name="_Toc149212509"/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Finder</w:t>
      </w:r>
      <w:bookmarkEnd w:id="26"/>
    </w:p>
    <w:p w14:paraId="413AC79A" w14:textId="3CF98060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pilot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designed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understand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right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succeed.</w:t>
      </w:r>
    </w:p>
    <w:p w14:paraId="07083BEF" w14:textId="4406FF15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investors:</w:t>
      </w:r>
    </w:p>
    <w:p w14:paraId="55C43653" w14:textId="77777777" w:rsidR="00285B13" w:rsidRPr="000A0333" w:rsidRDefault="00285B13" w:rsidP="00285B13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Insights</w:t>
      </w:r>
    </w:p>
    <w:p w14:paraId="6364E584" w14:textId="66FD8A6A" w:rsidR="00285B13" w:rsidRPr="00285B13" w:rsidRDefault="00285B13" w:rsidP="00285B13">
      <w:r w:rsidRPr="000A0333">
        <w:rPr>
          <w:lang w:val="en-GB" w:eastAsia="en-GB"/>
        </w:rPr>
        <w:t>Customised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mapping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deeper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understanding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pool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labour.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boost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confidence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needed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establish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here.</w:t>
      </w:r>
    </w:p>
    <w:p w14:paraId="30C5F137" w14:textId="68A5D62C" w:rsidR="00285B13" w:rsidRPr="00633F46" w:rsidRDefault="00285B13" w:rsidP="00633F46">
      <w:pPr>
        <w:pStyle w:val="Heading3"/>
      </w:pPr>
      <w:r w:rsidRPr="00633F46">
        <w:lastRenderedPageBreak/>
        <w:t>Priority</w:t>
      </w:r>
      <w:r w:rsidR="002A3271" w:rsidRPr="00633F46">
        <w:t xml:space="preserve"> </w:t>
      </w:r>
      <w:r w:rsidRPr="00633F46">
        <w:t>Access</w:t>
      </w:r>
      <w:r w:rsidR="002A3271" w:rsidRPr="00633F46">
        <w:t xml:space="preserve"> </w:t>
      </w:r>
      <w:r w:rsidRPr="00633F46">
        <w:t>to</w:t>
      </w:r>
      <w:r w:rsidR="002A3271" w:rsidRPr="00633F46">
        <w:t xml:space="preserve"> </w:t>
      </w:r>
      <w:r w:rsidRPr="00633F46">
        <w:t>Digital</w:t>
      </w:r>
      <w:r w:rsidR="002A3271" w:rsidRPr="00633F46">
        <w:t xml:space="preserve"> </w:t>
      </w:r>
      <w:r w:rsidRPr="00633F46">
        <w:t>Talent</w:t>
      </w:r>
    </w:p>
    <w:p w14:paraId="34C392EA" w14:textId="4638575E" w:rsidR="00285B13" w:rsidRPr="00285B13" w:rsidRDefault="00285B13" w:rsidP="00285B13">
      <w:r w:rsidRPr="000A0333">
        <w:rPr>
          <w:lang w:val="en-GB" w:eastAsia="en-GB"/>
        </w:rPr>
        <w:t>Provides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exclusive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webinars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select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candidates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round.</w:t>
      </w:r>
    </w:p>
    <w:p w14:paraId="5E41A636" w14:textId="30656E44" w:rsidR="000A0333" w:rsidRPr="000A0333" w:rsidRDefault="000A0333" w:rsidP="0070015E">
      <w:pPr>
        <w:pStyle w:val="Heading2"/>
        <w:rPr>
          <w:lang w:val="en-GB" w:eastAsia="en-GB"/>
        </w:rPr>
      </w:pPr>
      <w:bookmarkStart w:id="27" w:name="_Toc149212510"/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  <w:bookmarkEnd w:id="27"/>
    </w:p>
    <w:p w14:paraId="46F30D19" w14:textId="77777777" w:rsidR="0070015E" w:rsidRPr="0070015E" w:rsidRDefault="0070015E" w:rsidP="0070015E">
      <w:pPr>
        <w:pStyle w:val="Heading3"/>
      </w:pPr>
      <w:r w:rsidRPr="0070015E">
        <w:t>Targets</w:t>
      </w:r>
    </w:p>
    <w:p w14:paraId="4050161E" w14:textId="50D38D69" w:rsidR="0070015E" w:rsidRPr="00727994" w:rsidRDefault="0070015E" w:rsidP="00727994">
      <w:r w:rsidRPr="000A0333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projects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</w:p>
    <w:p w14:paraId="05EC8900" w14:textId="3B115CA2" w:rsidR="0070015E" w:rsidRPr="00727994" w:rsidRDefault="00727994" w:rsidP="00B50EC1">
      <w:pPr>
        <w:rPr>
          <w:b/>
          <w:bCs/>
          <w:lang w:val="en-GB" w:eastAsia="en-GB"/>
        </w:rPr>
      </w:pPr>
      <w:r w:rsidRPr="00727994">
        <w:rPr>
          <w:b/>
          <w:bCs/>
          <w:lang w:val="en-GB" w:eastAsia="en-GB"/>
        </w:rPr>
        <w:t>New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Jobs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(facilitated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by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IV)</w:t>
      </w:r>
    </w:p>
    <w:p w14:paraId="6AB76CB6" w14:textId="6C8BAF41" w:rsidR="00727994" w:rsidRPr="006A54F0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</w:t>
      </w:r>
      <w:r>
        <w:rPr>
          <w:lang w:val="en-GB" w:eastAsia="en-GB"/>
        </w:rPr>
        <w:tab/>
        <w:t>1,250</w:t>
      </w:r>
    </w:p>
    <w:p w14:paraId="19D2817F" w14:textId="4E112992" w:rsidR="00727994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2,549</w:t>
      </w:r>
    </w:p>
    <w:p w14:paraId="12CB49CD" w14:textId="2BBBF132" w:rsidR="00727994" w:rsidRPr="00727994" w:rsidRDefault="00727994" w:rsidP="00727994">
      <w:pPr>
        <w:tabs>
          <w:tab w:val="left" w:pos="2268"/>
        </w:tabs>
        <w:rPr>
          <w:b/>
          <w:bCs/>
          <w:lang w:val="en-GB" w:eastAsia="en-GB"/>
        </w:rPr>
      </w:pPr>
      <w:r w:rsidRPr="00727994">
        <w:rPr>
          <w:b/>
          <w:bCs/>
          <w:lang w:val="en-GB" w:eastAsia="en-GB"/>
        </w:rPr>
        <w:t>Wage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Expenditure</w:t>
      </w:r>
    </w:p>
    <w:p w14:paraId="7FBFBDFA" w14:textId="0A20B548" w:rsidR="00727994" w:rsidRPr="006A54F0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Targets</w:t>
      </w:r>
      <w:r>
        <w:rPr>
          <w:lang w:val="en-GB" w:eastAsia="en-GB"/>
        </w:rPr>
        <w:tab/>
        <w:t>$110m</w:t>
      </w:r>
    </w:p>
    <w:p w14:paraId="79E80A4A" w14:textId="5CC78B7E" w:rsidR="00727994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$332m</w:t>
      </w:r>
    </w:p>
    <w:p w14:paraId="2170B5B5" w14:textId="0AE388C5" w:rsidR="00727994" w:rsidRDefault="00727994" w:rsidP="00727994">
      <w:pPr>
        <w:tabs>
          <w:tab w:val="left" w:pos="2268"/>
        </w:tabs>
        <w:rPr>
          <w:b/>
          <w:bCs/>
          <w:lang w:val="en-GB" w:eastAsia="en-GB"/>
        </w:rPr>
      </w:pPr>
      <w:r w:rsidRPr="00727994">
        <w:rPr>
          <w:b/>
          <w:bCs/>
          <w:lang w:val="en-GB" w:eastAsia="en-GB"/>
        </w:rPr>
        <w:t>Innovation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Expenditure®*</w:t>
      </w:r>
    </w:p>
    <w:p w14:paraId="00EF5F58" w14:textId="4472FCED" w:rsidR="00727994" w:rsidRPr="006A54F0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Targets</w:t>
      </w:r>
      <w:r>
        <w:rPr>
          <w:lang w:val="en-GB" w:eastAsia="en-GB"/>
        </w:rPr>
        <w:tab/>
        <w:t>$135m</w:t>
      </w:r>
    </w:p>
    <w:p w14:paraId="7A29562F" w14:textId="40169B94" w:rsidR="00727994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$625m</w:t>
      </w:r>
    </w:p>
    <w:p w14:paraId="74E005E5" w14:textId="639BB424" w:rsidR="0070015E" w:rsidRPr="000A0333" w:rsidRDefault="0070015E" w:rsidP="00B50EC1">
      <w:pPr>
        <w:tabs>
          <w:tab w:val="left" w:pos="1871"/>
        </w:tabs>
        <w:rPr>
          <w:lang w:val="en-GB" w:eastAsia="en-GB"/>
        </w:rPr>
      </w:pPr>
      <w:r w:rsidRPr="000A0333">
        <w:rPr>
          <w:lang w:val="en-GB" w:eastAsia="en-GB"/>
        </w:rPr>
        <w:t>*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definition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aligns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adopted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Bureau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Statistics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originates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Organisation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Cooperation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Oslo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Manual,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standard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measuring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innovation.</w:t>
      </w:r>
    </w:p>
    <w:p w14:paraId="731CFEBA" w14:textId="508DE7A8" w:rsidR="0070015E" w:rsidRDefault="0070015E" w:rsidP="0070015E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Total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number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</w:p>
    <w:p w14:paraId="514F2ADC" w14:textId="096B3861" w:rsidR="0070015E" w:rsidRDefault="0070015E" w:rsidP="00B50EC1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graph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below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indicates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4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financial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years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(FY19-20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FY22-23).</w:t>
      </w:r>
    </w:p>
    <w:p w14:paraId="46D579B7" w14:textId="3385633C" w:rsidR="00727994" w:rsidRDefault="00727994" w:rsidP="00B50EC1">
      <w:pPr>
        <w:rPr>
          <w:lang w:val="en-GB" w:eastAsia="en-GB"/>
        </w:rPr>
      </w:pPr>
      <w:r w:rsidRPr="00727994">
        <w:rPr>
          <w:noProof/>
          <w:lang w:val="en-GB" w:eastAsia="en-GB"/>
        </w:rPr>
        <w:drawing>
          <wp:inline distT="0" distB="0" distL="0" distR="0" wp14:anchorId="1F3CCDAA" wp14:editId="726385F1">
            <wp:extent cx="4728117" cy="2137905"/>
            <wp:effectExtent l="0" t="0" r="0" b="0"/>
            <wp:docPr id="146192790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2790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4153" cy="214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604"/>
        <w:gridCol w:w="1605"/>
        <w:gridCol w:w="1605"/>
        <w:gridCol w:w="1605"/>
        <w:gridCol w:w="1605"/>
      </w:tblGrid>
      <w:tr w:rsidR="00A30C9D" w:rsidRPr="00A30C9D" w14:paraId="5D12D32F" w14:textId="77777777" w:rsidTr="00A30C9D">
        <w:tc>
          <w:tcPr>
            <w:tcW w:w="1604" w:type="dxa"/>
          </w:tcPr>
          <w:p w14:paraId="1885429D" w14:textId="3A5F30C4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lastRenderedPageBreak/>
              <w:t>Year</w:t>
            </w:r>
          </w:p>
        </w:tc>
        <w:tc>
          <w:tcPr>
            <w:tcW w:w="1605" w:type="dxa"/>
          </w:tcPr>
          <w:p w14:paraId="4B5943A5" w14:textId="4CD154E9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t>FY19/20</w:t>
            </w:r>
          </w:p>
        </w:tc>
        <w:tc>
          <w:tcPr>
            <w:tcW w:w="1605" w:type="dxa"/>
          </w:tcPr>
          <w:p w14:paraId="3A84FD23" w14:textId="7D7B4F0F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t>FY20/21</w:t>
            </w:r>
          </w:p>
        </w:tc>
        <w:tc>
          <w:tcPr>
            <w:tcW w:w="1605" w:type="dxa"/>
          </w:tcPr>
          <w:p w14:paraId="1AF00CA5" w14:textId="30E73654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t>FY2022</w:t>
            </w:r>
          </w:p>
        </w:tc>
        <w:tc>
          <w:tcPr>
            <w:tcW w:w="1605" w:type="dxa"/>
          </w:tcPr>
          <w:p w14:paraId="0621E31F" w14:textId="04D5C4C0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t>FY22/23</w:t>
            </w:r>
          </w:p>
        </w:tc>
      </w:tr>
      <w:tr w:rsidR="00A30C9D" w14:paraId="6AE79D5F" w14:textId="77777777" w:rsidTr="00A30C9D">
        <w:tc>
          <w:tcPr>
            <w:tcW w:w="1604" w:type="dxa"/>
          </w:tcPr>
          <w:p w14:paraId="4CA2383D" w14:textId="54CC7E88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Jobs</w:t>
            </w:r>
            <w:r w:rsidR="002A3271">
              <w:rPr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created</w:t>
            </w:r>
          </w:p>
        </w:tc>
        <w:tc>
          <w:tcPr>
            <w:tcW w:w="1605" w:type="dxa"/>
          </w:tcPr>
          <w:p w14:paraId="06545B9F" w14:textId="41087CF9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5,130</w:t>
            </w:r>
          </w:p>
        </w:tc>
        <w:tc>
          <w:tcPr>
            <w:tcW w:w="1605" w:type="dxa"/>
          </w:tcPr>
          <w:p w14:paraId="6D4BA5F8" w14:textId="2CB774DC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7,840</w:t>
            </w:r>
          </w:p>
        </w:tc>
        <w:tc>
          <w:tcPr>
            <w:tcW w:w="1605" w:type="dxa"/>
          </w:tcPr>
          <w:p w14:paraId="0A2B18AD" w14:textId="42DD781A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5,932</w:t>
            </w:r>
          </w:p>
        </w:tc>
        <w:tc>
          <w:tcPr>
            <w:tcW w:w="1605" w:type="dxa"/>
          </w:tcPr>
          <w:p w14:paraId="325E68CF" w14:textId="6F04B80C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7,879</w:t>
            </w:r>
          </w:p>
        </w:tc>
      </w:tr>
    </w:tbl>
    <w:p w14:paraId="138CE454" w14:textId="77777777" w:rsidR="00727994" w:rsidRPr="000A0333" w:rsidRDefault="00727994" w:rsidP="00A30C9D">
      <w:pPr>
        <w:rPr>
          <w:lang w:val="en-GB" w:eastAsia="en-GB"/>
        </w:rPr>
      </w:pPr>
    </w:p>
    <w:p w14:paraId="68CADCD1" w14:textId="69CD78C2" w:rsidR="0070015E" w:rsidRPr="000A0333" w:rsidRDefault="0070015E" w:rsidP="00B50EC1">
      <w:pPr>
        <w:tabs>
          <w:tab w:val="left" w:pos="1871"/>
        </w:tabs>
        <w:rPr>
          <w:lang w:val="en-GB" w:eastAsia="en-GB"/>
        </w:rPr>
      </w:pPr>
      <w:r w:rsidRPr="000A0333">
        <w:rPr>
          <w:lang w:val="en-GB" w:eastAsia="en-GB"/>
        </w:rPr>
        <w:t>Source: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August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2022-23.</w:t>
      </w:r>
    </w:p>
    <w:p w14:paraId="73719BD2" w14:textId="0296B771" w:rsidR="0070015E" w:rsidRDefault="0070015E" w:rsidP="0070015E">
      <w:pPr>
        <w:pStyle w:val="Heading3"/>
        <w:rPr>
          <w:lang w:val="en-GB" w:eastAsia="en-GB"/>
        </w:rPr>
      </w:pPr>
      <w:r>
        <w:rPr>
          <w:lang w:val="en-GB" w:eastAsia="en-GB"/>
        </w:rPr>
        <w:t>K</w:t>
      </w:r>
      <w:r w:rsidRPr="000A0333">
        <w:rPr>
          <w:lang w:val="en-GB" w:eastAsia="en-GB"/>
        </w:rPr>
        <w:t>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achievements</w:t>
      </w:r>
    </w:p>
    <w:p w14:paraId="4986367C" w14:textId="1EA34356" w:rsidR="0070015E" w:rsidRPr="0070015E" w:rsidRDefault="0070015E" w:rsidP="0070015E">
      <w:pPr>
        <w:pStyle w:val="Bullet"/>
      </w:pPr>
      <w:r w:rsidRPr="0070015E">
        <w:rPr>
          <w:lang w:val="en-GB" w:eastAsia="en-GB"/>
        </w:rPr>
        <w:t>Out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43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team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secured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2022-23,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29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were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first-time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state.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top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70015E">
        <w:t>by</w:t>
      </w:r>
      <w:r w:rsidR="002A3271">
        <w:t xml:space="preserve"> </w:t>
      </w:r>
      <w:r w:rsidRPr="0070015E">
        <w:t>country</w:t>
      </w:r>
      <w:r w:rsidR="002A3271">
        <w:t xml:space="preserve"> </w:t>
      </w:r>
      <w:r w:rsidRPr="0070015E">
        <w:t>were</w:t>
      </w:r>
      <w:r w:rsidR="002A3271">
        <w:t xml:space="preserve"> </w:t>
      </w:r>
      <w:r w:rsidRPr="0070015E">
        <w:t>the</w:t>
      </w:r>
      <w:r w:rsidR="002A3271">
        <w:t xml:space="preserve"> </w:t>
      </w:r>
      <w:r w:rsidRPr="0070015E">
        <w:t>United</w:t>
      </w:r>
      <w:r w:rsidR="002A3271">
        <w:t xml:space="preserve"> </w:t>
      </w:r>
      <w:r w:rsidRPr="0070015E">
        <w:t>States,</w:t>
      </w:r>
      <w:r w:rsidR="002A3271">
        <w:t xml:space="preserve"> </w:t>
      </w:r>
      <w:r w:rsidRPr="0070015E">
        <w:t>Singapore,</w:t>
      </w:r>
      <w:r w:rsidR="002A3271">
        <w:t xml:space="preserve"> </w:t>
      </w:r>
      <w:r w:rsidRPr="0070015E">
        <w:t>India,</w:t>
      </w:r>
      <w:r w:rsidR="002A3271">
        <w:t xml:space="preserve"> </w:t>
      </w:r>
      <w:r w:rsidRPr="0070015E">
        <w:t>the</w:t>
      </w:r>
      <w:r w:rsidR="002A3271">
        <w:t xml:space="preserve"> </w:t>
      </w:r>
      <w:r w:rsidRPr="0070015E">
        <w:t>United</w:t>
      </w:r>
      <w:r w:rsidR="002A3271">
        <w:t xml:space="preserve"> </w:t>
      </w:r>
      <w:r w:rsidRPr="0070015E">
        <w:t>Kingdom,</w:t>
      </w:r>
      <w:r w:rsidR="002A3271">
        <w:t xml:space="preserve"> </w:t>
      </w:r>
      <w:r w:rsidRPr="0070015E">
        <w:t>France</w:t>
      </w:r>
      <w:r w:rsidR="002A3271">
        <w:t xml:space="preserve"> </w:t>
      </w:r>
      <w:r w:rsidRPr="0070015E">
        <w:t>and</w:t>
      </w:r>
      <w:r w:rsidR="002A3271">
        <w:t xml:space="preserve"> </w:t>
      </w:r>
      <w:r w:rsidRPr="0070015E">
        <w:t>China.</w:t>
      </w:r>
    </w:p>
    <w:p w14:paraId="3CE516DA" w14:textId="1C21686D" w:rsidR="0070015E" w:rsidRPr="000A0333" w:rsidRDefault="0070015E" w:rsidP="0070015E">
      <w:pPr>
        <w:pStyle w:val="Bullet"/>
        <w:rPr>
          <w:lang w:val="en-GB" w:eastAsia="en-GB"/>
        </w:rPr>
      </w:pPr>
      <w:r w:rsidRPr="0070015E">
        <w:t>The</w:t>
      </w:r>
      <w:r w:rsidR="002A3271">
        <w:t xml:space="preserve"> </w:t>
      </w:r>
      <w:r w:rsidRPr="0070015E">
        <w:t>Invest</w:t>
      </w:r>
      <w:r w:rsidR="002A3271">
        <w:t xml:space="preserve"> </w:t>
      </w:r>
      <w:r w:rsidRPr="0070015E">
        <w:t>Victoria</w:t>
      </w:r>
      <w:r w:rsidR="002A3271">
        <w:t xml:space="preserve"> </w:t>
      </w:r>
      <w:r w:rsidRPr="0070015E">
        <w:t>Facilitation</w:t>
      </w:r>
      <w:r w:rsidR="002A3271">
        <w:t xml:space="preserve"> </w:t>
      </w:r>
      <w:r w:rsidRPr="0070015E">
        <w:t>Group</w:t>
      </w:r>
      <w:r w:rsidR="002A3271">
        <w:t xml:space="preserve"> </w:t>
      </w:r>
      <w:r w:rsidRPr="0070015E">
        <w:t>provided</w:t>
      </w:r>
      <w:r w:rsidR="002A3271">
        <w:t xml:space="preserve"> </w:t>
      </w:r>
      <w:r w:rsidRPr="0070015E">
        <w:t>support</w:t>
      </w:r>
      <w:r w:rsidR="002A3271">
        <w:t xml:space="preserve"> </w:t>
      </w:r>
      <w:r w:rsidRPr="0070015E">
        <w:t>on</w:t>
      </w:r>
      <w:r w:rsidR="002A3271">
        <w:t xml:space="preserve"> </w:t>
      </w:r>
      <w:r w:rsidRPr="0070015E">
        <w:t>174</w:t>
      </w:r>
      <w:r w:rsidR="002A3271">
        <w:t xml:space="preserve"> </w:t>
      </w:r>
      <w:r w:rsidRPr="0070015E">
        <w:t>new</w:t>
      </w:r>
      <w:r w:rsidR="002A3271">
        <w:t xml:space="preserve"> </w:t>
      </w:r>
      <w:r w:rsidRPr="0070015E">
        <w:t>projects</w:t>
      </w:r>
      <w:r w:rsidR="002A3271">
        <w:t xml:space="preserve"> </w:t>
      </w:r>
      <w:r w:rsidRPr="0070015E">
        <w:t>referred</w:t>
      </w:r>
      <w:r w:rsidR="002A3271">
        <w:t xml:space="preserve"> </w:t>
      </w:r>
      <w:r w:rsidRPr="0070015E">
        <w:t>to</w:t>
      </w:r>
      <w:r w:rsidR="002A3271">
        <w:t xml:space="preserve"> </w:t>
      </w:r>
      <w:r w:rsidRPr="0070015E">
        <w:t>the</w:t>
      </w:r>
      <w:r w:rsidR="002A3271">
        <w:t xml:space="preserve"> </w:t>
      </w:r>
      <w:r w:rsidRPr="0070015E">
        <w:t>group,</w:t>
      </w:r>
      <w:r w:rsidR="002A3271">
        <w:t xml:space="preserve"> </w:t>
      </w:r>
      <w:r w:rsidRPr="0070015E">
        <w:t>in</w:t>
      </w:r>
      <w:r w:rsidR="002A3271">
        <w:t xml:space="preserve"> </w:t>
      </w:r>
      <w:r w:rsidRPr="0070015E">
        <w:t>addition</w:t>
      </w:r>
      <w:r w:rsidR="002A3271">
        <w:t xml:space="preserve"> </w:t>
      </w:r>
      <w:r w:rsidRPr="0070015E">
        <w:t>to</w:t>
      </w:r>
      <w:r w:rsidR="002A3271">
        <w:t xml:space="preserve"> </w:t>
      </w:r>
      <w:r w:rsidRPr="0070015E">
        <w:t>202</w:t>
      </w:r>
      <w:r w:rsidR="002A3271">
        <w:t xml:space="preserve"> </w:t>
      </w:r>
      <w:r w:rsidRPr="0070015E">
        <w:t>ongoing</w:t>
      </w:r>
      <w:r w:rsidR="002A3271">
        <w:t xml:space="preserve"> </w:t>
      </w:r>
      <w:r w:rsidRPr="0070015E">
        <w:t>projects</w:t>
      </w:r>
      <w:r w:rsidR="002A3271">
        <w:t xml:space="preserve"> </w:t>
      </w:r>
      <w:r w:rsidRPr="0070015E">
        <w:t>already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being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managed.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Most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involved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identifying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sites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extensive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coordination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negotiation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progress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approval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applications.</w:t>
      </w:r>
    </w:p>
    <w:p w14:paraId="11615D1E" w14:textId="1BFD3730" w:rsidR="0070015E" w:rsidRDefault="0070015E" w:rsidP="0070015E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highlights</w:t>
      </w:r>
    </w:p>
    <w:p w14:paraId="3BAA80F0" w14:textId="471E8F76" w:rsidR="0070015E" w:rsidRPr="000A0333" w:rsidRDefault="0070015E" w:rsidP="0070015E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Since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December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2014,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effectively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secured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370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foreign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direct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65%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investments.</w:t>
      </w:r>
      <w:r w:rsidR="002A3271">
        <w:rPr>
          <w:lang w:val="en-GB" w:eastAsia="en-GB"/>
        </w:rPr>
        <w:t xml:space="preserve"> </w:t>
      </w:r>
    </w:p>
    <w:p w14:paraId="17214591" w14:textId="6587EBB0" w:rsidR="0070015E" w:rsidRPr="000A0333" w:rsidRDefault="0070015E" w:rsidP="0070015E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generated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estimated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$6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uplift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GSP.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expected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22,000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economy.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generate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hundreds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dollars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revenue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6DF0AB85" w14:textId="6E18343B" w:rsidR="008A5860" w:rsidRPr="000A0333" w:rsidRDefault="008A5860" w:rsidP="008A5860">
      <w:pPr>
        <w:pStyle w:val="Heading2"/>
        <w:rPr>
          <w:lang w:val="en-GB" w:eastAsia="en-GB"/>
        </w:rPr>
      </w:pPr>
      <w:bookmarkStart w:id="28" w:name="_Toc149212511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08</w:t>
      </w:r>
      <w:bookmarkEnd w:id="28"/>
      <w:r w:rsidR="002A3271">
        <w:rPr>
          <w:lang w:val="en-GB" w:eastAsia="en-GB"/>
        </w:rPr>
        <w:t xml:space="preserve"> </w:t>
      </w:r>
    </w:p>
    <w:p w14:paraId="44F0F2D8" w14:textId="311525BC" w:rsidR="008A5860" w:rsidRPr="000A0333" w:rsidRDefault="008A5860" w:rsidP="008A5860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Microsoft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improves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cloud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resiliency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by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expanding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Availability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Zone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Melbourne</w:t>
      </w:r>
    </w:p>
    <w:p w14:paraId="6AA1271A" w14:textId="6690DCAE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October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Microsoft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announced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Azure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region.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Construction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now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underway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various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project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full-time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roles.</w:t>
      </w:r>
      <w:r w:rsidR="002A3271">
        <w:rPr>
          <w:lang w:val="en-GB" w:eastAsia="en-GB"/>
        </w:rPr>
        <w:t xml:space="preserve"> </w:t>
      </w:r>
    </w:p>
    <w:p w14:paraId="4365FA18" w14:textId="2212958A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Francisco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conduct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extensive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search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strict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requirements.</w:t>
      </w:r>
      <w:r w:rsidR="002A3271">
        <w:rPr>
          <w:lang w:val="en-GB" w:eastAsia="en-GB"/>
        </w:rPr>
        <w:t xml:space="preserve"> </w:t>
      </w:r>
    </w:p>
    <w:p w14:paraId="3A3848E7" w14:textId="25504D13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approval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requirements,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facilitated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relevant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councils,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utility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water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corporations,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EPA,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telecommunications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Department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Planning.</w:t>
      </w:r>
    </w:p>
    <w:p w14:paraId="1C51AC1F" w14:textId="35A1D707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Understanding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Microsoft’s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focus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community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workforce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introduced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Microsoft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Peoples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Wurundjeri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Board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discuss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cultural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initiatives.</w:t>
      </w:r>
      <w:r w:rsidR="002A3271">
        <w:rPr>
          <w:lang w:val="en-GB" w:eastAsia="en-GB"/>
        </w:rPr>
        <w:t xml:space="preserve"> </w:t>
      </w:r>
    </w:p>
    <w:p w14:paraId="0444F1D0" w14:textId="6EE5A89B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efforts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Microsoft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overcome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crucial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barriers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significantly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down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procedural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times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streamline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0FBFCB78" w14:textId="77777777" w:rsidR="000A0333" w:rsidRPr="000A0333" w:rsidRDefault="000A0333" w:rsidP="000A0333">
      <w:pPr>
        <w:keepLines/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VIC Light" w:hAnsi="VIC Light" w:cs="VIC Light"/>
          <w:color w:val="000000"/>
          <w:sz w:val="20"/>
          <w:szCs w:val="20"/>
          <w:lang w:val="en-GB" w:eastAsia="en-GB"/>
        </w:rPr>
      </w:pPr>
    </w:p>
    <w:p w14:paraId="4BED6467" w14:textId="4EA33452" w:rsidR="000A0333" w:rsidRPr="000A0333" w:rsidRDefault="000A0333" w:rsidP="008A5860">
      <w:pPr>
        <w:pStyle w:val="Heading1"/>
        <w:rPr>
          <w:lang w:val="en-GB" w:eastAsia="en-GB"/>
        </w:rPr>
      </w:pPr>
      <w:bookmarkStart w:id="29" w:name="_Toc149212512"/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bookmarkEnd w:id="29"/>
    </w:p>
    <w:p w14:paraId="6D31AAE4" w14:textId="057E77A3" w:rsidR="000A0333" w:rsidRPr="000A0333" w:rsidRDefault="000A0333" w:rsidP="008A5860">
      <w:pPr>
        <w:pStyle w:val="Heading2"/>
        <w:rPr>
          <w:lang w:val="en-GB" w:eastAsia="en-GB"/>
        </w:rPr>
      </w:pPr>
      <w:bookmarkStart w:id="30" w:name="_Toc149212513"/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attraction</w:t>
      </w:r>
      <w:bookmarkEnd w:id="30"/>
    </w:p>
    <w:p w14:paraId="2575E71D" w14:textId="0B1584D0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major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generating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ultimate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destination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considering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373007CC" w14:textId="797E26AC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activities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establish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graduate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diversify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strengthen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elevate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reputation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excellence.</w:t>
      </w:r>
    </w:p>
    <w:p w14:paraId="48A7E2CB" w14:textId="74C857B5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aim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to:</w:t>
      </w:r>
    </w:p>
    <w:p w14:paraId="6BB45CBC" w14:textId="1B735481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empower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positive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responsive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wellbeing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</w:p>
    <w:p w14:paraId="01569415" w14:textId="7FC50D63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launch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careers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nurturing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enhancing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employability,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entrepreneurship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leadership</w:t>
      </w:r>
    </w:p>
    <w:p w14:paraId="717B9FCD" w14:textId="2BE57169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reputation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destination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excellence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offering</w:t>
      </w:r>
    </w:p>
    <w:p w14:paraId="2EAE61D4" w14:textId="061C4601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strengthen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diversification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products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modes</w:t>
      </w:r>
    </w:p>
    <w:p w14:paraId="72EBC5AC" w14:textId="204A4B14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position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respond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emerging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risks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aligned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advocacy.</w:t>
      </w:r>
    </w:p>
    <w:p w14:paraId="5A0B5882" w14:textId="48AF7092" w:rsidR="000A0333" w:rsidRPr="008A5860" w:rsidRDefault="000A0333" w:rsidP="008A5860">
      <w:pPr>
        <w:pStyle w:val="Heading2"/>
      </w:pPr>
      <w:bookmarkStart w:id="31" w:name="_Toc149212514"/>
      <w:r w:rsidRPr="008A5860">
        <w:t>International</w:t>
      </w:r>
      <w:r w:rsidR="002A3271">
        <w:t xml:space="preserve"> </w:t>
      </w:r>
      <w:r w:rsidRPr="008A5860">
        <w:t>Education</w:t>
      </w:r>
      <w:r w:rsidR="002A3271">
        <w:t xml:space="preserve"> </w:t>
      </w:r>
      <w:r w:rsidRPr="008A5860">
        <w:t>Recovery</w:t>
      </w:r>
      <w:r w:rsidR="002A3271">
        <w:t xml:space="preserve"> </w:t>
      </w:r>
      <w:r w:rsidRPr="008A5860">
        <w:t>Plan</w:t>
      </w:r>
      <w:r w:rsidR="002A3271">
        <w:t xml:space="preserve"> </w:t>
      </w:r>
      <w:r w:rsidRPr="008A5860">
        <w:t>2025</w:t>
      </w:r>
      <w:bookmarkEnd w:id="31"/>
    </w:p>
    <w:p w14:paraId="004F6B57" w14:textId="7A47DCC6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8A5860">
        <w:rPr>
          <w:i/>
          <w:iCs/>
        </w:rPr>
        <w:t>International</w:t>
      </w:r>
      <w:r w:rsidR="002A3271">
        <w:rPr>
          <w:i/>
          <w:iCs/>
        </w:rPr>
        <w:t xml:space="preserve"> </w:t>
      </w:r>
      <w:r w:rsidRPr="008A5860">
        <w:rPr>
          <w:i/>
          <w:iCs/>
        </w:rPr>
        <w:t>Education</w:t>
      </w:r>
      <w:r w:rsidR="002A3271">
        <w:rPr>
          <w:i/>
          <w:iCs/>
        </w:rPr>
        <w:t xml:space="preserve"> </w:t>
      </w:r>
      <w:r w:rsidRPr="008A5860">
        <w:rPr>
          <w:i/>
          <w:iCs/>
        </w:rPr>
        <w:t>Recovery</w:t>
      </w:r>
      <w:r w:rsidR="002A3271">
        <w:rPr>
          <w:i/>
          <w:iCs/>
        </w:rPr>
        <w:t xml:space="preserve"> </w:t>
      </w:r>
      <w:r w:rsidRPr="008A5860">
        <w:rPr>
          <w:i/>
          <w:iCs/>
        </w:rPr>
        <w:t>Plan</w:t>
      </w:r>
      <w:r w:rsidR="002A3271">
        <w:rPr>
          <w:i/>
          <w:iCs/>
        </w:rPr>
        <w:t xml:space="preserve"> </w:t>
      </w:r>
      <w:r w:rsidRPr="008A5860">
        <w:rPr>
          <w:i/>
          <w:iCs/>
        </w:rPr>
        <w:t>2025</w:t>
      </w:r>
      <w:r w:rsidRPr="000A0333">
        <w:rPr>
          <w:lang w:val="en-GB" w:eastAsia="en-GB"/>
        </w:rPr>
        <w:t>,</w:t>
      </w:r>
      <w:r w:rsidR="002A3271">
        <w:rPr>
          <w:rFonts w:ascii="Cambria" w:hAnsi="Cambria" w:cs="Cambria"/>
          <w:lang w:val="en-GB" w:eastAsia="en-GB"/>
        </w:rPr>
        <w:t xml:space="preserve"> </w:t>
      </w:r>
      <w:r w:rsidRPr="00633F46">
        <w:t>launched</w:t>
      </w:r>
      <w:r w:rsidR="002A3271" w:rsidRPr="00633F46">
        <w:t xml:space="preserve"> </w:t>
      </w:r>
      <w:r w:rsidRPr="00633F46">
        <w:t>in</w:t>
      </w:r>
      <w:r w:rsidR="002A3271" w:rsidRPr="00633F46">
        <w:t xml:space="preserve"> </w:t>
      </w:r>
      <w:r w:rsidRPr="00633F46">
        <w:t>September</w:t>
      </w:r>
      <w:r w:rsidR="002A3271" w:rsidRPr="00633F46">
        <w:t xml:space="preserve"> </w:t>
      </w:r>
      <w:r w:rsidRPr="00633F46">
        <w:t>2022,</w:t>
      </w:r>
      <w:r w:rsidR="002A3271" w:rsidRPr="00633F46">
        <w:t xml:space="preserve"> </w:t>
      </w:r>
      <w:r w:rsidRPr="00633F46">
        <w:t>establishes</w:t>
      </w:r>
      <w:r w:rsidR="002A3271" w:rsidRPr="00633F46">
        <w:t xml:space="preserve"> </w:t>
      </w:r>
      <w:r w:rsidRPr="00633F46">
        <w:t>a</w:t>
      </w:r>
      <w:r w:rsidR="002A3271" w:rsidRPr="00633F46">
        <w:t xml:space="preserve"> </w:t>
      </w:r>
      <w:r w:rsidRPr="00633F46">
        <w:t>vision</w:t>
      </w:r>
      <w:r w:rsidR="002A3271" w:rsidRPr="00633F46">
        <w:t xml:space="preserve"> </w:t>
      </w:r>
      <w:r w:rsidRPr="00633F46">
        <w:t>of</w:t>
      </w:r>
      <w:r w:rsidR="002A3271" w:rsidRPr="00633F46">
        <w:t xml:space="preserve"> </w:t>
      </w:r>
      <w:r w:rsidRPr="00633F46">
        <w:t>Victoria</w:t>
      </w:r>
      <w:r w:rsidR="002A3271" w:rsidRPr="00633F46">
        <w:t xml:space="preserve"> </w:t>
      </w:r>
      <w:r w:rsidRPr="00633F46">
        <w:t>as</w:t>
      </w:r>
      <w:r w:rsidR="002A3271" w:rsidRPr="00633F46">
        <w:t xml:space="preserve"> </w:t>
      </w:r>
      <w:r w:rsidRPr="00633F46">
        <w:t>a</w:t>
      </w:r>
      <w:r w:rsidR="002A3271" w:rsidRPr="00633F46">
        <w:t xml:space="preserve"> </w:t>
      </w:r>
      <w:r w:rsidRPr="00633F46">
        <w:t>leader</w:t>
      </w:r>
      <w:r w:rsidR="002A3271" w:rsidRPr="00633F46">
        <w:t xml:space="preserve"> </w:t>
      </w:r>
      <w:r w:rsidRPr="00633F46">
        <w:t>in</w:t>
      </w:r>
      <w:r w:rsidR="002A3271" w:rsidRPr="00633F46">
        <w:t xml:space="preserve"> </w:t>
      </w:r>
      <w:r w:rsidRPr="00633F46">
        <w:t>education,</w:t>
      </w:r>
      <w:r w:rsidR="002A3271" w:rsidRPr="00633F46">
        <w:t xml:space="preserve"> </w:t>
      </w:r>
      <w:r w:rsidRPr="00633F46">
        <w:t>recognised</w:t>
      </w:r>
      <w:r w:rsidR="002A3271" w:rsidRPr="00633F46">
        <w:t xml:space="preserve"> </w:t>
      </w:r>
      <w:r w:rsidRPr="00633F46">
        <w:t>for</w:t>
      </w:r>
      <w:r w:rsidR="002A3271" w:rsidRPr="00633F46">
        <w:t xml:space="preserve"> </w:t>
      </w:r>
      <w:r w:rsidRPr="00633F46">
        <w:t>quality,</w:t>
      </w:r>
      <w:r w:rsidR="002A3271" w:rsidRPr="00633F46">
        <w:t xml:space="preserve"> </w:t>
      </w:r>
      <w:r w:rsidRPr="00633F46"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inclusion.</w:t>
      </w:r>
    </w:p>
    <w:p w14:paraId="01D5A29B" w14:textId="0AE1E164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outlines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goals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2025:</w:t>
      </w:r>
    </w:p>
    <w:p w14:paraId="7BCBB80C" w14:textId="3D1FC062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graduate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</w:t>
      </w:r>
    </w:p>
    <w:p w14:paraId="5160A539" w14:textId="7EB8FA6C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diversify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strengthen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</w:p>
    <w:p w14:paraId="03AF65E2" w14:textId="723E7A85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elevate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reputation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excellence.</w:t>
      </w:r>
    </w:p>
    <w:p w14:paraId="7AE45156" w14:textId="11BAEADD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lastRenderedPageBreak/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$52.9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funding,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pillars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19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goals.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pillars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are:</w:t>
      </w:r>
    </w:p>
    <w:p w14:paraId="24113FF6" w14:textId="1A3DBE7C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</w:p>
    <w:p w14:paraId="44CF939D" w14:textId="66CEA4EB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Employability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return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</w:p>
    <w:p w14:paraId="6A5EC04E" w14:textId="42D51126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Promotion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offering</w:t>
      </w:r>
    </w:p>
    <w:p w14:paraId="50045B1C" w14:textId="4B7B7087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connections</w:t>
      </w:r>
    </w:p>
    <w:p w14:paraId="522814CB" w14:textId="11B936DC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Partnerships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collaboration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sector.</w:t>
      </w:r>
    </w:p>
    <w:p w14:paraId="66B27E7E" w14:textId="69E43770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calls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collective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effort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multiple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tiers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embracing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increase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competitiveness;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responding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shifting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preferences;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enabling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greater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offerings.</w:t>
      </w:r>
    </w:p>
    <w:p w14:paraId="68ABA44D" w14:textId="0001BD52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outlined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recovery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resilience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include:</w:t>
      </w:r>
    </w:p>
    <w:p w14:paraId="080CE48E" w14:textId="77CFE8B2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</w:p>
    <w:p w14:paraId="71A8DCC5" w14:textId="236ECAF2" w:rsidR="008A5860" w:rsidRPr="008A5860" w:rsidRDefault="008A5860" w:rsidP="008A5860"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19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managers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facilitates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diversification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TAFEs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private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providers.</w:t>
      </w:r>
    </w:p>
    <w:p w14:paraId="762A72D1" w14:textId="39AE4AAA" w:rsidR="008A5860" w:rsidRPr="008A5860" w:rsidRDefault="008A5860" w:rsidP="008A5860">
      <w:pPr>
        <w:pStyle w:val="Heading3"/>
      </w:pPr>
      <w:r w:rsidRPr="008A5860">
        <w:t>Offshore</w:t>
      </w:r>
      <w:r w:rsidR="002A3271">
        <w:t xml:space="preserve"> </w:t>
      </w:r>
      <w:r w:rsidRPr="008A5860">
        <w:t>Study</w:t>
      </w:r>
      <w:r w:rsidR="002A3271">
        <w:t xml:space="preserve"> </w:t>
      </w:r>
      <w:r w:rsidRPr="008A5860">
        <w:t>Melbourne</w:t>
      </w:r>
      <w:r w:rsidR="002A3271">
        <w:t xml:space="preserve"> </w:t>
      </w:r>
      <w:r w:rsidRPr="008A5860">
        <w:t>Hubs</w:t>
      </w:r>
    </w:p>
    <w:p w14:paraId="5583A280" w14:textId="6DA6B306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Located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Shanghai,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Minh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City,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Kuala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Lumpur,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hybrid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pop-up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Latin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America,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take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student.</w:t>
      </w:r>
      <w:r w:rsidR="002A3271">
        <w:rPr>
          <w:lang w:val="en-GB" w:eastAsia="en-GB"/>
        </w:rPr>
        <w:t xml:space="preserve"> </w:t>
      </w:r>
    </w:p>
    <w:p w14:paraId="35FDFBF7" w14:textId="062947B6" w:rsidR="008A5860" w:rsidRPr="008A5860" w:rsidRDefault="008A5860" w:rsidP="008A5860"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flexible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spaces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quality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system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distinctive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culture.</w:t>
      </w:r>
    </w:p>
    <w:p w14:paraId="6BB8090C" w14:textId="1937E478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</w:p>
    <w:p w14:paraId="0E3FF4CB" w14:textId="72471FA6" w:rsidR="008A5860" w:rsidRPr="008A5860" w:rsidRDefault="008A5860" w:rsidP="008A5860"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space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centre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welfare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free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legal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accommodation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matters.</w:t>
      </w:r>
    </w:p>
    <w:p w14:paraId="469EC4B8" w14:textId="3347CDE4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Empowered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Series</w:t>
      </w:r>
      <w:r w:rsidR="002A3271">
        <w:rPr>
          <w:lang w:val="en-GB" w:eastAsia="en-GB"/>
        </w:rPr>
        <w:t xml:space="preserve"> </w:t>
      </w:r>
    </w:p>
    <w:p w14:paraId="53EDB0CB" w14:textId="46539545" w:rsidR="008A5860" w:rsidRPr="008A5860" w:rsidRDefault="008A5860" w:rsidP="008A5860"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suite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professional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one-on-one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resume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checking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volunteering,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workshops.</w:t>
      </w:r>
    </w:p>
    <w:p w14:paraId="60A42F70" w14:textId="33971D5E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</w:p>
    <w:p w14:paraId="15BCD7C6" w14:textId="24A8500F" w:rsidR="008A5860" w:rsidRPr="008A5860" w:rsidRDefault="008A5860" w:rsidP="008A5860">
      <w:r w:rsidRPr="000A0333">
        <w:rPr>
          <w:lang w:val="en-GB" w:eastAsia="en-GB"/>
        </w:rPr>
        <w:t>Provides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$75,000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activities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wellbeing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enhance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08AE729E" w14:textId="65D6881B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lastRenderedPageBreak/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</w:p>
    <w:p w14:paraId="276FC6E8" w14:textId="5243628A" w:rsidR="008A5860" w:rsidRPr="008A5860" w:rsidRDefault="008A5860" w:rsidP="008A5860">
      <w:r w:rsidRPr="000A0333">
        <w:rPr>
          <w:lang w:val="en-GB" w:eastAsia="en-GB"/>
        </w:rPr>
        <w:t>Ongoing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website,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media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channels,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events.</w:t>
      </w:r>
    </w:p>
    <w:p w14:paraId="062E6BE8" w14:textId="18C14F1D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Awards</w:t>
      </w:r>
      <w:r w:rsidR="002A3271">
        <w:rPr>
          <w:lang w:val="en-GB" w:eastAsia="en-GB"/>
        </w:rPr>
        <w:t xml:space="preserve"> </w:t>
      </w:r>
    </w:p>
    <w:p w14:paraId="3DEE4A8B" w14:textId="7954097A" w:rsidR="008A5860" w:rsidRPr="008A5860" w:rsidRDefault="008A5860" w:rsidP="008A5860">
      <w:r w:rsidRPr="000A0333">
        <w:rPr>
          <w:lang w:val="en-GB" w:eastAsia="en-GB"/>
        </w:rPr>
        <w:t>Celebrates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outstanding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excellent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providers.</w:t>
      </w:r>
    </w:p>
    <w:p w14:paraId="7FC975BB" w14:textId="2D5ACAC9" w:rsidR="000A0333" w:rsidRPr="000A0333" w:rsidRDefault="000A0333" w:rsidP="007960D8">
      <w:pPr>
        <w:pStyle w:val="Heading2"/>
        <w:rPr>
          <w:lang w:val="en-GB" w:eastAsia="en-GB"/>
        </w:rPr>
      </w:pPr>
      <w:bookmarkStart w:id="32" w:name="_Toc149212515"/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  <w:bookmarkEnd w:id="32"/>
    </w:p>
    <w:p w14:paraId="6106AD17" w14:textId="080CA855" w:rsidR="007960D8" w:rsidRPr="000A0333" w:rsidRDefault="007960D8" w:rsidP="007960D8">
      <w:pPr>
        <w:pStyle w:val="Heading3"/>
        <w:rPr>
          <w:lang w:val="en-GB" w:eastAsia="en-GB"/>
        </w:rPr>
      </w:pPr>
      <w:r>
        <w:rPr>
          <w:lang w:val="en-GB" w:eastAsia="en-GB"/>
        </w:rPr>
        <w:t>K</w:t>
      </w:r>
      <w:r w:rsidRPr="000A0333">
        <w:rPr>
          <w:lang w:val="en-GB" w:eastAsia="en-GB"/>
        </w:rPr>
        <w:t>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achievements</w:t>
      </w:r>
    </w:p>
    <w:p w14:paraId="582B3E25" w14:textId="18087C90" w:rsidR="007960D8" w:rsidRPr="007960D8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Developed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International</w:t>
      </w:r>
      <w:r w:rsidR="002A3271">
        <w:rPr>
          <w:i/>
          <w:iCs/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Education</w:t>
      </w:r>
      <w:r w:rsidR="002A3271">
        <w:rPr>
          <w:i/>
          <w:iCs/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Recovery</w:t>
      </w:r>
      <w:r w:rsidR="002A3271">
        <w:rPr>
          <w:i/>
          <w:iCs/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Plan</w:t>
      </w:r>
      <w:r w:rsidR="002A3271">
        <w:rPr>
          <w:i/>
          <w:iCs/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2025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delivering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vision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drive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recovery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2025.</w:t>
      </w:r>
    </w:p>
    <w:p w14:paraId="0DFBF5C6" w14:textId="3042EC5A" w:rsidR="007960D8" w:rsidRPr="007960D8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achieved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$25.7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(interim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result),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while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welcomed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10,000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visitors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hosted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225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events,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achieving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98%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rate.</w:t>
      </w:r>
    </w:p>
    <w:p w14:paraId="161068BA" w14:textId="547C29CB" w:rsidR="007960D8" w:rsidRPr="007960D8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90%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rating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programs.</w:t>
      </w:r>
    </w:p>
    <w:p w14:paraId="0E8E591A" w14:textId="6390665F" w:rsidR="007960D8" w:rsidRPr="007960D8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Awarded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700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scholarships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enrolled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pathway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courses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18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TAFEs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university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Pathway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Scholarship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program.</w:t>
      </w:r>
    </w:p>
    <w:p w14:paraId="05FCF066" w14:textId="35ABB35E" w:rsidR="007960D8" w:rsidRPr="000A0333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Established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Commitment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Action: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improving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employment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collaborating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initial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25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employers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promote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post-study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pathways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while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addressing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shortages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select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sectors.</w:t>
      </w:r>
    </w:p>
    <w:p w14:paraId="539F2423" w14:textId="652D3372" w:rsidR="007960D8" w:rsidRPr="000A0333" w:rsidRDefault="007960D8" w:rsidP="007960D8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highlights</w:t>
      </w:r>
    </w:p>
    <w:p w14:paraId="1B3A3D91" w14:textId="0631CB23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Ranked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fourth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(QS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Rankings).</w:t>
      </w:r>
    </w:p>
    <w:p w14:paraId="245897E7" w14:textId="772F5710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two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inbound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familiarisation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tours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school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counsellors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agents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Southeast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outbound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Vietnam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foster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commercial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opportunities.</w:t>
      </w:r>
    </w:p>
    <w:p w14:paraId="75C8438B" w14:textId="566F1A40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micro-credentials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eight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Micro-Credential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Framework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TAFE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framework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platinum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Learning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Model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LearnX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Awards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Learning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category.</w:t>
      </w:r>
    </w:p>
    <w:p w14:paraId="1ED42867" w14:textId="7D56212B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Week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strengthen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credentials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EdTech,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attended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8,000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in-person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online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participants.</w:t>
      </w:r>
    </w:p>
    <w:p w14:paraId="4C1EC977" w14:textId="17738093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Continued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$50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Resilience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respond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impacts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COVID-19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pandemic.</w:t>
      </w:r>
    </w:p>
    <w:p w14:paraId="5423B019" w14:textId="3CC4B403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lastRenderedPageBreak/>
        <w:t>Provided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information,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legal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referrals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complex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casework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approximately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1,850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78278F10" w14:textId="208ECF92" w:rsidR="007960D8" w:rsidRPr="000A0333" w:rsidRDefault="007960D8" w:rsidP="007960D8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highlights</w:t>
      </w:r>
    </w:p>
    <w:p w14:paraId="20A84CCE" w14:textId="7136649F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strength-based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employability,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entrepreneurship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enrichment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initiatives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2,500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Empowered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90%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rate.</w:t>
      </w:r>
    </w:p>
    <w:p w14:paraId="73973534" w14:textId="1C4B292B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Implemented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projects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improved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wellbeing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students.</w:t>
      </w:r>
    </w:p>
    <w:p w14:paraId="23E621FA" w14:textId="045D2B53" w:rsidR="007960D8" w:rsidRPr="000A0333" w:rsidRDefault="007960D8" w:rsidP="007960D8">
      <w:pPr>
        <w:pStyle w:val="Heading2"/>
        <w:rPr>
          <w:lang w:val="en-GB" w:eastAsia="en-GB"/>
        </w:rPr>
      </w:pPr>
      <w:bookmarkStart w:id="33" w:name="_Toc149212516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09</w:t>
      </w:r>
      <w:bookmarkEnd w:id="33"/>
      <w:r w:rsidR="002A3271">
        <w:rPr>
          <w:lang w:val="en-GB" w:eastAsia="en-GB"/>
        </w:rPr>
        <w:t xml:space="preserve"> </w:t>
      </w:r>
    </w:p>
    <w:p w14:paraId="4EB238D4" w14:textId="66710714" w:rsidR="007960D8" w:rsidRPr="000A0333" w:rsidRDefault="007960D8" w:rsidP="007960D8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Study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Melbourne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Hubs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–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vibrant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friendly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space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to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nurture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global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talent</w:t>
      </w:r>
    </w:p>
    <w:p w14:paraId="263B0205" w14:textId="43DC0C60" w:rsidR="007960D8" w:rsidRPr="000A0333" w:rsidRDefault="007960D8" w:rsidP="007960D8">
      <w:pPr>
        <w:rPr>
          <w:lang w:val="en-GB" w:eastAsia="en-GB"/>
        </w:rPr>
      </w:pP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brings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taste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current,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offshore,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physical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Shanghai,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Minh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City,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Kuala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Lumpur,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hybrid/pop-ups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Latin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America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Asia.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space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stakeholders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ecosystem.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not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successful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alumni,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prospective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partners.</w:t>
      </w:r>
    </w:p>
    <w:p w14:paraId="40C94DF6" w14:textId="795BC06E" w:rsidR="007960D8" w:rsidRPr="007960D8" w:rsidRDefault="007960D8" w:rsidP="007960D8"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welcomed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10,000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visitors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225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pre-departure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briefings,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employability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seminars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career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talks,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98%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rate.</w:t>
      </w:r>
    </w:p>
    <w:p w14:paraId="0E91B955" w14:textId="199F18BB" w:rsidR="000A0333" w:rsidRPr="000A0333" w:rsidRDefault="000A0333" w:rsidP="007960D8">
      <w:pPr>
        <w:pStyle w:val="Heading1"/>
        <w:rPr>
          <w:lang w:val="en-GB" w:eastAsia="en-GB"/>
        </w:rPr>
      </w:pPr>
      <w:bookmarkStart w:id="34" w:name="_Toc149212517"/>
      <w:r w:rsidRPr="000A0333">
        <w:rPr>
          <w:lang w:val="en-GB" w:eastAsia="en-GB"/>
        </w:rPr>
        <w:t>Contact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</w:t>
      </w:r>
      <w:bookmarkEnd w:id="34"/>
    </w:p>
    <w:p w14:paraId="077F9D1E" w14:textId="01871650" w:rsidR="000A0333" w:rsidRPr="000A0333" w:rsidRDefault="000A0333" w:rsidP="007960D8">
      <w:pPr>
        <w:rPr>
          <w:lang w:val="en-GB" w:eastAsia="en-GB"/>
        </w:rPr>
      </w:pPr>
      <w:r w:rsidRPr="000A0333">
        <w:rPr>
          <w:lang w:val="en-GB" w:eastAsia="en-GB"/>
        </w:rPr>
        <w:t>121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Exhibition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Street</w:t>
      </w:r>
      <w:r w:rsidR="002A3271">
        <w:rPr>
          <w:lang w:val="en-GB" w:eastAsia="en-GB"/>
        </w:rPr>
        <w:t xml:space="preserve"> </w:t>
      </w:r>
      <w:r w:rsidR="007960D8">
        <w:rPr>
          <w:lang w:val="en-GB" w:eastAsia="en-GB"/>
        </w:rPr>
        <w:br/>
      </w:r>
      <w:r w:rsidRPr="000A0333">
        <w:rPr>
          <w:lang w:val="en-GB" w:eastAsia="en-GB"/>
        </w:rPr>
        <w:t>Melbourne,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3000</w:t>
      </w:r>
      <w:r w:rsidR="002A3271">
        <w:rPr>
          <w:lang w:val="en-GB" w:eastAsia="en-GB"/>
        </w:rPr>
        <w:t xml:space="preserve"> </w:t>
      </w:r>
      <w:r w:rsidR="007960D8">
        <w:rPr>
          <w:lang w:val="en-GB" w:eastAsia="en-GB"/>
        </w:rPr>
        <w:br/>
      </w:r>
      <w:r w:rsidRPr="000A0333">
        <w:rPr>
          <w:lang w:val="en-GB" w:eastAsia="en-GB"/>
        </w:rPr>
        <w:t>Australia</w:t>
      </w:r>
      <w:r w:rsidR="002A3271">
        <w:rPr>
          <w:lang w:val="en-GB" w:eastAsia="en-GB"/>
        </w:rPr>
        <w:t xml:space="preserve"> </w:t>
      </w:r>
      <w:r w:rsidR="007960D8">
        <w:rPr>
          <w:lang w:val="en-GB" w:eastAsia="en-GB"/>
        </w:rPr>
        <w:br/>
      </w:r>
      <w:r w:rsidRPr="000A0333">
        <w:rPr>
          <w:lang w:val="en-GB" w:eastAsia="en-GB"/>
        </w:rPr>
        <w:t>+61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9651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8100</w:t>
      </w:r>
    </w:p>
    <w:p w14:paraId="45BB33F5" w14:textId="70D34FD7" w:rsidR="000A0333" w:rsidRPr="000A0333" w:rsidRDefault="00684393" w:rsidP="007960D8">
      <w:pPr>
        <w:rPr>
          <w:lang w:val="en-GB" w:eastAsia="en-GB"/>
        </w:rPr>
      </w:pPr>
      <w:hyperlink r:id="rId22" w:history="1">
        <w:r w:rsidR="000A0333" w:rsidRPr="000A0333">
          <w:rPr>
            <w:rStyle w:val="Hyperlink"/>
            <w:lang w:val="en-GB" w:eastAsia="en-GB"/>
          </w:rPr>
          <w:t>global.vic.gov.au</w:t>
        </w:r>
      </w:hyperlink>
    </w:p>
    <w:p w14:paraId="39C5105A" w14:textId="77777777" w:rsidR="000A0333" w:rsidRPr="000A0333" w:rsidRDefault="000A0333" w:rsidP="007960D8">
      <w:pPr>
        <w:rPr>
          <w:rStyle w:val="Hyperlink"/>
          <w:lang w:val="en-GB" w:eastAsia="en-GB"/>
        </w:rPr>
      </w:pPr>
      <w:r w:rsidRPr="007960D8">
        <w:rPr>
          <w:lang w:val="en-GB" w:eastAsia="en-GB"/>
        </w:rPr>
        <w:fldChar w:fldCharType="begin"/>
      </w:r>
      <w:r w:rsidRPr="000A0333">
        <w:rPr>
          <w:lang w:val="en-GB" w:eastAsia="en-GB"/>
        </w:rPr>
        <w:instrText>HYPERLINK  "https://www.invest.vic.gov.au/"</w:instrText>
      </w:r>
      <w:r w:rsidRPr="007960D8">
        <w:rPr>
          <w:lang w:val="en-GB" w:eastAsia="en-GB"/>
        </w:rPr>
      </w:r>
      <w:r w:rsidRPr="007960D8">
        <w:rPr>
          <w:lang w:val="en-GB" w:eastAsia="en-GB"/>
        </w:rPr>
        <w:fldChar w:fldCharType="separate"/>
      </w:r>
      <w:r w:rsidRPr="000A0333">
        <w:rPr>
          <w:rStyle w:val="Hyperlink"/>
          <w:lang w:val="en-GB" w:eastAsia="en-GB"/>
        </w:rPr>
        <w:t>invest.vic.gov.au</w:t>
      </w:r>
    </w:p>
    <w:p w14:paraId="151B357E" w14:textId="58111812" w:rsidR="00E56313" w:rsidRPr="007960D8" w:rsidRDefault="000A0333" w:rsidP="007960D8">
      <w:r w:rsidRPr="007960D8">
        <w:rPr>
          <w:lang w:val="en-GB" w:eastAsia="en-GB"/>
        </w:rPr>
        <w:fldChar w:fldCharType="end"/>
      </w:r>
      <w:hyperlink r:id="rId23" w:history="1">
        <w:r w:rsidRPr="007960D8">
          <w:rPr>
            <w:rStyle w:val="Hyperlink"/>
            <w:lang w:val="en-GB" w:eastAsia="en-GB"/>
          </w:rPr>
          <w:t>studymelbourne.vic.gov.au</w:t>
        </w:r>
      </w:hyperlink>
    </w:p>
    <w:sectPr w:rsidR="00E56313" w:rsidRPr="007960D8" w:rsidSect="0084767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98CD" w14:textId="77777777" w:rsidR="00D42420" w:rsidRDefault="00D42420" w:rsidP="00847673">
      <w:r>
        <w:separator/>
      </w:r>
    </w:p>
    <w:p w14:paraId="141AF4B9" w14:textId="77777777" w:rsidR="00D42420" w:rsidRDefault="00D42420" w:rsidP="00847673"/>
    <w:p w14:paraId="692B279C" w14:textId="77777777" w:rsidR="00D42420" w:rsidRDefault="00D42420" w:rsidP="00847673"/>
  </w:endnote>
  <w:endnote w:type="continuationSeparator" w:id="0">
    <w:p w14:paraId="61B16BD1" w14:textId="77777777" w:rsidR="00D42420" w:rsidRDefault="00D42420" w:rsidP="00847673">
      <w:r>
        <w:continuationSeparator/>
      </w:r>
    </w:p>
    <w:p w14:paraId="6E822510" w14:textId="77777777" w:rsidR="00D42420" w:rsidRDefault="00D42420" w:rsidP="00847673"/>
    <w:p w14:paraId="11D4C57C" w14:textId="77777777" w:rsidR="00D42420" w:rsidRDefault="00D42420" w:rsidP="00847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(Body)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E667" w14:textId="62182983" w:rsidR="00843667" w:rsidRDefault="00843667" w:rsidP="0084767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9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80BCE3" w14:textId="77777777" w:rsidR="00843667" w:rsidRDefault="00843667" w:rsidP="00847673">
    <w:pPr>
      <w:rPr>
        <w:rStyle w:val="PageNumber"/>
      </w:rPr>
    </w:pPr>
  </w:p>
  <w:p w14:paraId="7CDAFE2B" w14:textId="77777777" w:rsidR="00843667" w:rsidRDefault="00843667" w:rsidP="00847673"/>
  <w:p w14:paraId="7855B02D" w14:textId="77777777" w:rsidR="00843667" w:rsidRDefault="00843667" w:rsidP="00847673"/>
  <w:p w14:paraId="0A54B898" w14:textId="77777777" w:rsidR="00843667" w:rsidRDefault="00843667" w:rsidP="008476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FCD" w14:textId="62AC4494" w:rsidR="003029B8" w:rsidRDefault="006843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CFD71B" wp14:editId="62009F5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5c04559812bd35eaf1533e2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071672" w14:textId="0AF6F9B6" w:rsidR="00684393" w:rsidRPr="00684393" w:rsidRDefault="00684393" w:rsidP="00684393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684393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FD71B" id="_x0000_t202" coordsize="21600,21600" o:spt="202" path="m,l,21600r21600,l21600,xe">
              <v:stroke joinstyle="miter"/>
              <v:path gradientshapeok="t" o:connecttype="rect"/>
            </v:shapetype>
            <v:shape id="MSIPCM95c04559812bd35eaf1533e2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Beog4O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A071672" w14:textId="0AF6F9B6" w:rsidR="00684393" w:rsidRPr="00684393" w:rsidRDefault="00684393" w:rsidP="00684393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684393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7BB2" w14:textId="53FD8179" w:rsidR="003029B8" w:rsidRDefault="00302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6A55" w14:textId="77777777" w:rsidR="00D42420" w:rsidRDefault="00D42420" w:rsidP="00847673">
      <w:r>
        <w:separator/>
      </w:r>
    </w:p>
    <w:p w14:paraId="5D8F1293" w14:textId="77777777" w:rsidR="00D42420" w:rsidRDefault="00D42420" w:rsidP="00847673"/>
    <w:p w14:paraId="54C8671F" w14:textId="77777777" w:rsidR="00D42420" w:rsidRDefault="00D42420" w:rsidP="00847673"/>
  </w:footnote>
  <w:footnote w:type="continuationSeparator" w:id="0">
    <w:p w14:paraId="667EC691" w14:textId="77777777" w:rsidR="00D42420" w:rsidRDefault="00D42420" w:rsidP="00847673">
      <w:r>
        <w:continuationSeparator/>
      </w:r>
    </w:p>
    <w:p w14:paraId="289488A9" w14:textId="77777777" w:rsidR="00D42420" w:rsidRDefault="00D42420" w:rsidP="00847673"/>
    <w:p w14:paraId="654B8905" w14:textId="77777777" w:rsidR="00D42420" w:rsidRDefault="00D42420" w:rsidP="00847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6879" w14:textId="6754E305" w:rsidR="003029B8" w:rsidRDefault="00302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8D3" w14:textId="44E60410" w:rsidR="003029B8" w:rsidRDefault="006843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36C050" wp14:editId="6945880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f780451682e9a241e5679b4b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7ECD85" w14:textId="3F063190" w:rsidR="00684393" w:rsidRPr="00684393" w:rsidRDefault="00684393" w:rsidP="00684393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684393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6C050" id="_x0000_t202" coordsize="21600,21600" o:spt="202" path="m,l,21600r21600,l21600,xe">
              <v:stroke joinstyle="miter"/>
              <v:path gradientshapeok="t" o:connecttype="rect"/>
            </v:shapetype>
            <v:shape id="MSIPCMf780451682e9a241e5679b4b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3B7ECD85" w14:textId="3F063190" w:rsidR="00684393" w:rsidRPr="00684393" w:rsidRDefault="00684393" w:rsidP="00684393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684393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9675" w14:textId="3E96372B" w:rsidR="003029B8" w:rsidRDefault="00302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E277B"/>
    <w:multiLevelType w:val="hybridMultilevel"/>
    <w:tmpl w:val="BF28FBEA"/>
    <w:lvl w:ilvl="0" w:tplc="D71AB76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29B40D15"/>
    <w:multiLevelType w:val="hybridMultilevel"/>
    <w:tmpl w:val="FF180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27018"/>
    <w:multiLevelType w:val="hybridMultilevel"/>
    <w:tmpl w:val="4920A134"/>
    <w:lvl w:ilvl="0" w:tplc="EC22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9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31353">
    <w:abstractNumId w:val="34"/>
  </w:num>
  <w:num w:numId="2" w16cid:durableId="615017518">
    <w:abstractNumId w:val="17"/>
  </w:num>
  <w:num w:numId="3" w16cid:durableId="1725329024">
    <w:abstractNumId w:val="10"/>
  </w:num>
  <w:num w:numId="4" w16cid:durableId="116798915">
    <w:abstractNumId w:val="8"/>
  </w:num>
  <w:num w:numId="5" w16cid:durableId="754404714">
    <w:abstractNumId w:val="7"/>
  </w:num>
  <w:num w:numId="6" w16cid:durableId="582104546">
    <w:abstractNumId w:val="6"/>
  </w:num>
  <w:num w:numId="7" w16cid:durableId="1335573381">
    <w:abstractNumId w:val="5"/>
  </w:num>
  <w:num w:numId="8" w16cid:durableId="367339285">
    <w:abstractNumId w:val="9"/>
  </w:num>
  <w:num w:numId="9" w16cid:durableId="319775573">
    <w:abstractNumId w:val="4"/>
  </w:num>
  <w:num w:numId="10" w16cid:durableId="114296810">
    <w:abstractNumId w:val="3"/>
  </w:num>
  <w:num w:numId="11" w16cid:durableId="1265042714">
    <w:abstractNumId w:val="2"/>
  </w:num>
  <w:num w:numId="12" w16cid:durableId="1734889201">
    <w:abstractNumId w:val="1"/>
  </w:num>
  <w:num w:numId="13" w16cid:durableId="1262109496">
    <w:abstractNumId w:val="0"/>
  </w:num>
  <w:num w:numId="14" w16cid:durableId="1942761090">
    <w:abstractNumId w:val="26"/>
  </w:num>
  <w:num w:numId="15" w16cid:durableId="2113697033">
    <w:abstractNumId w:val="19"/>
  </w:num>
  <w:num w:numId="16" w16cid:durableId="965084918">
    <w:abstractNumId w:val="35"/>
  </w:num>
  <w:num w:numId="17" w16cid:durableId="769933470">
    <w:abstractNumId w:val="25"/>
  </w:num>
  <w:num w:numId="18" w16cid:durableId="1036811799">
    <w:abstractNumId w:val="16"/>
  </w:num>
  <w:num w:numId="19" w16cid:durableId="393042965">
    <w:abstractNumId w:val="21"/>
  </w:num>
  <w:num w:numId="20" w16cid:durableId="1227424034">
    <w:abstractNumId w:val="14"/>
  </w:num>
  <w:num w:numId="21" w16cid:durableId="788747498">
    <w:abstractNumId w:val="20"/>
  </w:num>
  <w:num w:numId="22" w16cid:durableId="1616595442">
    <w:abstractNumId w:val="28"/>
  </w:num>
  <w:num w:numId="23" w16cid:durableId="412508353">
    <w:abstractNumId w:val="24"/>
  </w:num>
  <w:num w:numId="24" w16cid:durableId="462119541">
    <w:abstractNumId w:val="32"/>
  </w:num>
  <w:num w:numId="25" w16cid:durableId="1918200258">
    <w:abstractNumId w:val="23"/>
  </w:num>
  <w:num w:numId="26" w16cid:durableId="1962568989">
    <w:abstractNumId w:val="31"/>
  </w:num>
  <w:num w:numId="27" w16cid:durableId="902758953">
    <w:abstractNumId w:val="36"/>
  </w:num>
  <w:num w:numId="28" w16cid:durableId="351416788">
    <w:abstractNumId w:val="11"/>
  </w:num>
  <w:num w:numId="29" w16cid:durableId="1392845265">
    <w:abstractNumId w:val="29"/>
  </w:num>
  <w:num w:numId="30" w16cid:durableId="212885754">
    <w:abstractNumId w:val="37"/>
  </w:num>
  <w:num w:numId="31" w16cid:durableId="547422832">
    <w:abstractNumId w:val="33"/>
  </w:num>
  <w:num w:numId="32" w16cid:durableId="948657517">
    <w:abstractNumId w:val="18"/>
  </w:num>
  <w:num w:numId="33" w16cid:durableId="1995908064">
    <w:abstractNumId w:val="30"/>
  </w:num>
  <w:num w:numId="34" w16cid:durableId="183786010">
    <w:abstractNumId w:val="39"/>
  </w:num>
  <w:num w:numId="35" w16cid:durableId="1785341270">
    <w:abstractNumId w:val="38"/>
  </w:num>
  <w:num w:numId="36" w16cid:durableId="228268248">
    <w:abstractNumId w:val="15"/>
  </w:num>
  <w:num w:numId="37" w16cid:durableId="1260330147">
    <w:abstractNumId w:val="27"/>
  </w:num>
  <w:num w:numId="38" w16cid:durableId="1597711804">
    <w:abstractNumId w:val="13"/>
  </w:num>
  <w:num w:numId="39" w16cid:durableId="1569262412">
    <w:abstractNumId w:val="12"/>
  </w:num>
  <w:num w:numId="40" w16cid:durableId="15376086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20"/>
    <w:rsid w:val="00002A39"/>
    <w:rsid w:val="000036CE"/>
    <w:rsid w:val="00013889"/>
    <w:rsid w:val="00017775"/>
    <w:rsid w:val="00030496"/>
    <w:rsid w:val="000357B3"/>
    <w:rsid w:val="000419C6"/>
    <w:rsid w:val="00053101"/>
    <w:rsid w:val="000536A2"/>
    <w:rsid w:val="00087128"/>
    <w:rsid w:val="0009513B"/>
    <w:rsid w:val="00095A8B"/>
    <w:rsid w:val="000A0333"/>
    <w:rsid w:val="000A1660"/>
    <w:rsid w:val="000B3D0A"/>
    <w:rsid w:val="000B47BF"/>
    <w:rsid w:val="000B5F85"/>
    <w:rsid w:val="000C72E5"/>
    <w:rsid w:val="00100DAC"/>
    <w:rsid w:val="001010AF"/>
    <w:rsid w:val="00134ECC"/>
    <w:rsid w:val="001604E7"/>
    <w:rsid w:val="001745B8"/>
    <w:rsid w:val="001748EF"/>
    <w:rsid w:val="00194343"/>
    <w:rsid w:val="00197970"/>
    <w:rsid w:val="001C600B"/>
    <w:rsid w:val="001D0350"/>
    <w:rsid w:val="001D37F7"/>
    <w:rsid w:val="001F7023"/>
    <w:rsid w:val="00203883"/>
    <w:rsid w:val="00210DDC"/>
    <w:rsid w:val="002275CB"/>
    <w:rsid w:val="00244113"/>
    <w:rsid w:val="00284955"/>
    <w:rsid w:val="00285B13"/>
    <w:rsid w:val="00290BF9"/>
    <w:rsid w:val="00294AA3"/>
    <w:rsid w:val="002962D1"/>
    <w:rsid w:val="002A3271"/>
    <w:rsid w:val="002A6DB1"/>
    <w:rsid w:val="002B6E14"/>
    <w:rsid w:val="002B7736"/>
    <w:rsid w:val="002B7DAA"/>
    <w:rsid w:val="002D2EC0"/>
    <w:rsid w:val="002E1278"/>
    <w:rsid w:val="002F01A7"/>
    <w:rsid w:val="003029B8"/>
    <w:rsid w:val="003046E4"/>
    <w:rsid w:val="0031065A"/>
    <w:rsid w:val="00324BAD"/>
    <w:rsid w:val="0034186D"/>
    <w:rsid w:val="00343AFC"/>
    <w:rsid w:val="0035735A"/>
    <w:rsid w:val="00362FBA"/>
    <w:rsid w:val="00365606"/>
    <w:rsid w:val="0037064F"/>
    <w:rsid w:val="00385B49"/>
    <w:rsid w:val="00395308"/>
    <w:rsid w:val="003A1138"/>
    <w:rsid w:val="003D7499"/>
    <w:rsid w:val="003E5FEE"/>
    <w:rsid w:val="003E7F9F"/>
    <w:rsid w:val="003F4C53"/>
    <w:rsid w:val="00424007"/>
    <w:rsid w:val="0042767C"/>
    <w:rsid w:val="00434D23"/>
    <w:rsid w:val="00451405"/>
    <w:rsid w:val="00464890"/>
    <w:rsid w:val="00473AB1"/>
    <w:rsid w:val="004A15DF"/>
    <w:rsid w:val="004A7315"/>
    <w:rsid w:val="004D0B04"/>
    <w:rsid w:val="004D273C"/>
    <w:rsid w:val="00506C69"/>
    <w:rsid w:val="0051277C"/>
    <w:rsid w:val="00517406"/>
    <w:rsid w:val="00561580"/>
    <w:rsid w:val="0058543D"/>
    <w:rsid w:val="00597802"/>
    <w:rsid w:val="0061599A"/>
    <w:rsid w:val="00633F46"/>
    <w:rsid w:val="0063431F"/>
    <w:rsid w:val="00635700"/>
    <w:rsid w:val="0065327B"/>
    <w:rsid w:val="0066012B"/>
    <w:rsid w:val="00660A85"/>
    <w:rsid w:val="00665417"/>
    <w:rsid w:val="00671B15"/>
    <w:rsid w:val="00681D94"/>
    <w:rsid w:val="00684393"/>
    <w:rsid w:val="00697076"/>
    <w:rsid w:val="006A54F0"/>
    <w:rsid w:val="006B34CD"/>
    <w:rsid w:val="006B61E2"/>
    <w:rsid w:val="006F595D"/>
    <w:rsid w:val="0070015E"/>
    <w:rsid w:val="00701AC3"/>
    <w:rsid w:val="00727994"/>
    <w:rsid w:val="0073019A"/>
    <w:rsid w:val="007421EA"/>
    <w:rsid w:val="00763A9B"/>
    <w:rsid w:val="0078175B"/>
    <w:rsid w:val="00783316"/>
    <w:rsid w:val="007960D8"/>
    <w:rsid w:val="007C02A2"/>
    <w:rsid w:val="007D0491"/>
    <w:rsid w:val="007E1B64"/>
    <w:rsid w:val="007F2D34"/>
    <w:rsid w:val="007F66CB"/>
    <w:rsid w:val="00800403"/>
    <w:rsid w:val="008017B4"/>
    <w:rsid w:val="00804FD5"/>
    <w:rsid w:val="0082630D"/>
    <w:rsid w:val="00843667"/>
    <w:rsid w:val="008457D8"/>
    <w:rsid w:val="00847673"/>
    <w:rsid w:val="00870866"/>
    <w:rsid w:val="008A5860"/>
    <w:rsid w:val="008B42F0"/>
    <w:rsid w:val="008C7567"/>
    <w:rsid w:val="008D4664"/>
    <w:rsid w:val="008D63F5"/>
    <w:rsid w:val="008E1BD0"/>
    <w:rsid w:val="008E37CC"/>
    <w:rsid w:val="00916CAD"/>
    <w:rsid w:val="009324DF"/>
    <w:rsid w:val="00947441"/>
    <w:rsid w:val="00953ED1"/>
    <w:rsid w:val="009644BA"/>
    <w:rsid w:val="00983D55"/>
    <w:rsid w:val="009840A4"/>
    <w:rsid w:val="009A4B3D"/>
    <w:rsid w:val="009B1E82"/>
    <w:rsid w:val="009B221C"/>
    <w:rsid w:val="009D5C0B"/>
    <w:rsid w:val="009D7457"/>
    <w:rsid w:val="009D76C8"/>
    <w:rsid w:val="009E2779"/>
    <w:rsid w:val="009E35C4"/>
    <w:rsid w:val="00A0004C"/>
    <w:rsid w:val="00A05DF5"/>
    <w:rsid w:val="00A2008A"/>
    <w:rsid w:val="00A30C9D"/>
    <w:rsid w:val="00A37580"/>
    <w:rsid w:val="00A43AEA"/>
    <w:rsid w:val="00A56D7C"/>
    <w:rsid w:val="00A822BD"/>
    <w:rsid w:val="00A84713"/>
    <w:rsid w:val="00AB2405"/>
    <w:rsid w:val="00AC4E82"/>
    <w:rsid w:val="00AF334F"/>
    <w:rsid w:val="00B13EDC"/>
    <w:rsid w:val="00B20244"/>
    <w:rsid w:val="00B2145F"/>
    <w:rsid w:val="00B336E7"/>
    <w:rsid w:val="00B46E0D"/>
    <w:rsid w:val="00B50EC1"/>
    <w:rsid w:val="00B65B0E"/>
    <w:rsid w:val="00B722AF"/>
    <w:rsid w:val="00B767D8"/>
    <w:rsid w:val="00BA2D59"/>
    <w:rsid w:val="00BA6C69"/>
    <w:rsid w:val="00BB20A0"/>
    <w:rsid w:val="00BB376F"/>
    <w:rsid w:val="00BB7A08"/>
    <w:rsid w:val="00BC5FAD"/>
    <w:rsid w:val="00BC7431"/>
    <w:rsid w:val="00BF2C1C"/>
    <w:rsid w:val="00BF324B"/>
    <w:rsid w:val="00C06465"/>
    <w:rsid w:val="00C1235C"/>
    <w:rsid w:val="00C14CC7"/>
    <w:rsid w:val="00C27B8C"/>
    <w:rsid w:val="00C37927"/>
    <w:rsid w:val="00C43612"/>
    <w:rsid w:val="00C50A27"/>
    <w:rsid w:val="00C552BC"/>
    <w:rsid w:val="00C56103"/>
    <w:rsid w:val="00C86C09"/>
    <w:rsid w:val="00CA2E6F"/>
    <w:rsid w:val="00CA7CCD"/>
    <w:rsid w:val="00CB1EF3"/>
    <w:rsid w:val="00CB6899"/>
    <w:rsid w:val="00CC13B6"/>
    <w:rsid w:val="00CC627D"/>
    <w:rsid w:val="00CE5AA8"/>
    <w:rsid w:val="00D036E4"/>
    <w:rsid w:val="00D22BD4"/>
    <w:rsid w:val="00D406AA"/>
    <w:rsid w:val="00D42420"/>
    <w:rsid w:val="00D53BB5"/>
    <w:rsid w:val="00D81EEB"/>
    <w:rsid w:val="00D90745"/>
    <w:rsid w:val="00D93A0B"/>
    <w:rsid w:val="00D94A1A"/>
    <w:rsid w:val="00DB6906"/>
    <w:rsid w:val="00DD435A"/>
    <w:rsid w:val="00DD5E27"/>
    <w:rsid w:val="00DD77E3"/>
    <w:rsid w:val="00DE055F"/>
    <w:rsid w:val="00E47681"/>
    <w:rsid w:val="00E547D5"/>
    <w:rsid w:val="00E56313"/>
    <w:rsid w:val="00E60CD3"/>
    <w:rsid w:val="00E67B6B"/>
    <w:rsid w:val="00E720F4"/>
    <w:rsid w:val="00E8177D"/>
    <w:rsid w:val="00EA23BE"/>
    <w:rsid w:val="00EA52AE"/>
    <w:rsid w:val="00EC7FF6"/>
    <w:rsid w:val="00EE5DDB"/>
    <w:rsid w:val="00F06168"/>
    <w:rsid w:val="00F45551"/>
    <w:rsid w:val="00F8396A"/>
    <w:rsid w:val="00F96D44"/>
    <w:rsid w:val="00FA505C"/>
    <w:rsid w:val="00FC1D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E86B6"/>
  <w15:chartTrackingRefBased/>
  <w15:docId w15:val="{76DBD45C-EE13-3B40-B755-A964850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78175B"/>
    <w:pPr>
      <w:spacing w:after="240" w:line="283" w:lineRule="atLeast"/>
    </w:pPr>
    <w:rPr>
      <w:rFonts w:ascii="Arial" w:hAnsi="Arial" w:cs="Arial"/>
      <w:spacing w:val="-4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673"/>
    <w:pPr>
      <w:keepNext/>
      <w:keepLines/>
      <w:spacing w:before="480" w:line="276" w:lineRule="auto"/>
      <w:outlineLvl w:val="0"/>
    </w:pPr>
    <w:rPr>
      <w:rFonts w:eastAsia="MS Gothic" w:cs="Times New Roman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673"/>
    <w:pPr>
      <w:keepNext/>
      <w:keepLines/>
      <w:spacing w:before="360" w:line="276" w:lineRule="auto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673"/>
    <w:pPr>
      <w:keepNext/>
      <w:keepLines/>
      <w:spacing w:before="240" w:line="276" w:lineRule="auto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29B8"/>
    <w:pPr>
      <w:keepNext/>
      <w:keepLines/>
      <w:spacing w:before="240" w:after="12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313"/>
    <w:pPr>
      <w:spacing w:before="240" w:after="60"/>
      <w:outlineLvl w:val="4"/>
    </w:pPr>
    <w:rPr>
      <w:rFonts w:cs="Times New Roman"/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6313"/>
    <w:pPr>
      <w:spacing w:before="240" w:after="60"/>
      <w:outlineLvl w:val="5"/>
    </w:pPr>
    <w:rPr>
      <w:rFonts w:eastAsia="Times New Roman" w:cs="Times New Roman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47673"/>
    <w:rPr>
      <w:rFonts w:ascii="Arial" w:eastAsia="MS Gothic" w:hAnsi="Arial"/>
      <w:b/>
      <w:bCs/>
      <w:spacing w:val="-4"/>
      <w:sz w:val="36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847673"/>
    <w:rPr>
      <w:rFonts w:ascii="Arial" w:eastAsia="MS Gothic" w:hAnsi="Arial"/>
      <w:b/>
      <w:bCs/>
      <w:spacing w:val="-4"/>
      <w:sz w:val="32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847673"/>
    <w:rPr>
      <w:rFonts w:ascii="Arial" w:eastAsia="MS Gothic" w:hAnsi="Arial" w:cs="Arial"/>
      <w:b/>
      <w:bCs/>
      <w:spacing w:val="-4"/>
      <w:sz w:val="28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3029B8"/>
    <w:rPr>
      <w:rFonts w:ascii="Arial" w:eastAsia="MS Gothic" w:hAnsi="Arial" w:cs="Arial"/>
      <w:b/>
      <w:bCs/>
      <w:iCs/>
      <w:spacing w:val="-4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44113"/>
    <w:pPr>
      <w:spacing w:after="0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029B8"/>
    <w:pPr>
      <w:spacing w:after="360" w:line="276" w:lineRule="auto"/>
      <w:contextualSpacing/>
    </w:pPr>
    <w:rPr>
      <w:rFonts w:eastAsia="MS Gothic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029B8"/>
    <w:rPr>
      <w:rFonts w:ascii="Arial" w:eastAsia="MS Gothic" w:hAnsi="Arial" w:cs="Arial"/>
      <w:b/>
      <w:spacing w:val="5"/>
      <w:kern w:val="28"/>
      <w:sz w:val="52"/>
      <w:szCs w:val="52"/>
      <w:lang w:val="en-US" w:eastAsia="en-US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TableBullet"/>
    <w:qFormat/>
    <w:rsid w:val="00847673"/>
  </w:style>
  <w:style w:type="table" w:styleId="TableGrid">
    <w:name w:val="Table Grid"/>
    <w:basedOn w:val="TableNormal"/>
    <w:uiPriority w:val="59"/>
    <w:rsid w:val="0084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3E5FEE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56313"/>
    <w:pPr>
      <w:spacing w:after="0"/>
      <w:outlineLvl w:val="9"/>
    </w:pPr>
    <w:rPr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43AEA"/>
    <w:rPr>
      <w:sz w:val="16"/>
    </w:rPr>
  </w:style>
  <w:style w:type="character" w:customStyle="1" w:styleId="FootnoteTextChar">
    <w:name w:val="Footnote Text Char"/>
    <w:link w:val="FootnoteText"/>
    <w:uiPriority w:val="99"/>
    <w:rsid w:val="00A43AEA"/>
    <w:rPr>
      <w:rFonts w:ascii="Arial" w:hAnsi="Arial"/>
      <w:sz w:val="16"/>
      <w:szCs w:val="24"/>
      <w:lang w:val="en-US"/>
    </w:rPr>
  </w:style>
  <w:style w:type="paragraph" w:customStyle="1" w:styleId="TableBullet">
    <w:name w:val="Table Bullet"/>
    <w:basedOn w:val="TableCopy"/>
    <w:qFormat/>
    <w:rsid w:val="00847673"/>
    <w:pPr>
      <w:numPr>
        <w:numId w:val="32"/>
      </w:numPr>
      <w:ind w:left="284" w:hanging="284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uiPriority w:val="39"/>
    <w:unhideWhenUsed/>
    <w:rsid w:val="00244113"/>
    <w:pPr>
      <w:tabs>
        <w:tab w:val="right" w:leader="dot" w:pos="9628"/>
      </w:tabs>
      <w:spacing w:before="240" w:after="60"/>
    </w:pPr>
    <w:rPr>
      <w:rFonts w:cs="Calibri (Body)"/>
      <w:b/>
      <w:bCs/>
      <w:noProof/>
      <w:spacing w:val="0"/>
    </w:rPr>
  </w:style>
  <w:style w:type="paragraph" w:styleId="TOC2">
    <w:name w:val="toc 2"/>
    <w:basedOn w:val="Normal"/>
    <w:next w:val="Normal"/>
    <w:uiPriority w:val="39"/>
    <w:unhideWhenUsed/>
    <w:rsid w:val="00244113"/>
    <w:pPr>
      <w:spacing w:before="120" w:after="60"/>
      <w:ind w:left="238"/>
    </w:pPr>
    <w:rPr>
      <w:rFonts w:asciiTheme="minorHAnsi" w:hAnsiTheme="minorHAnsi" w:cstheme="minorHAnsi"/>
      <w:b/>
      <w:bC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9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1599A"/>
    <w:rPr>
      <w:rFonts w:ascii="Tahoma" w:hAnsi="Tahoma"/>
      <w:szCs w:val="24"/>
      <w:lang w:val="en-US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9B8"/>
    <w:pPr>
      <w:spacing w:after="360" w:line="276" w:lineRule="auto"/>
      <w:outlineLvl w:val="1"/>
    </w:pPr>
    <w:rPr>
      <w:rFonts w:eastAsia="Times New Roman" w:cs="Times New Roman"/>
      <w:spacing w:val="0"/>
      <w:sz w:val="36"/>
    </w:rPr>
  </w:style>
  <w:style w:type="character" w:customStyle="1" w:styleId="SubtitleChar">
    <w:name w:val="Subtitle Char"/>
    <w:link w:val="Subtitle"/>
    <w:uiPriority w:val="11"/>
    <w:rsid w:val="003029B8"/>
    <w:rPr>
      <w:rFonts w:ascii="Arial" w:eastAsia="Times New Roman" w:hAnsi="Arial"/>
      <w:sz w:val="36"/>
      <w:szCs w:val="24"/>
      <w:lang w:val="en-US" w:eastAsia="en-US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customStyle="1" w:styleId="PlainTable31">
    <w:name w:val="Plain Table 31"/>
    <w:uiPriority w:val="19"/>
    <w:qFormat/>
    <w:rsid w:val="00E56313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E56313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E56313"/>
    <w:rPr>
      <w:rFonts w:ascii="Arial" w:hAnsi="Arial"/>
      <w:smallCaps/>
      <w:color w:val="5A5A5A"/>
    </w:rPr>
  </w:style>
  <w:style w:type="character" w:customStyle="1" w:styleId="TableGridLight1">
    <w:name w:val="Table Grid Light1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customStyle="1" w:styleId="GridTable1Light1">
    <w:name w:val="Grid Table 1 Light1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paragraph" w:styleId="TOC3">
    <w:name w:val="toc 3"/>
    <w:basedOn w:val="Normal"/>
    <w:next w:val="Normal"/>
    <w:uiPriority w:val="39"/>
    <w:unhideWhenUsed/>
    <w:rsid w:val="00244113"/>
    <w:pPr>
      <w:spacing w:after="60"/>
      <w:ind w:left="482"/>
    </w:pPr>
    <w:rPr>
      <w:rFonts w:asciiTheme="minorHAnsi" w:hAnsiTheme="minorHAnsi" w:cstheme="minorHAnsi"/>
      <w:szCs w:val="20"/>
    </w:rPr>
  </w:style>
  <w:style w:type="character" w:customStyle="1" w:styleId="URL">
    <w:name w:val="URL"/>
    <w:uiPriority w:val="99"/>
    <w:rsid w:val="009B1E82"/>
    <w:rPr>
      <w:rFonts w:ascii="VIC Medium" w:hAnsi="VIC Medium" w:cs="VIC Medium"/>
    </w:rPr>
  </w:style>
  <w:style w:type="character" w:customStyle="1" w:styleId="Italic">
    <w:name w:val="Italic"/>
    <w:uiPriority w:val="99"/>
    <w:rsid w:val="009B1E82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9B1E82"/>
    <w:rPr>
      <w:rFonts w:ascii="VIC Medium" w:hAnsi="VIC Medium" w:cs="VIC Medium"/>
    </w:rPr>
  </w:style>
  <w:style w:type="character" w:styleId="UnresolvedMention">
    <w:name w:val="Unresolved Mention"/>
    <w:basedOn w:val="DefaultParagraphFont"/>
    <w:uiPriority w:val="47"/>
    <w:rsid w:val="00FA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tudymelbourne.vic.gov.au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global.vic.gov.au/" TargetMode="External"/><Relationship Id="rId17" Type="http://schemas.openxmlformats.org/officeDocument/2006/relationships/hyperlink" Target="https://www.studymelbourne.vic.gov.au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.vic.gov.au/" TargetMode="External"/><Relationship Id="rId20" Type="http://schemas.openxmlformats.org/officeDocument/2006/relationships/image" Target="media/image4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vest.vic.gov.a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nvest.vic.gov.au/" TargetMode="External"/><Relationship Id="rId23" Type="http://schemas.openxmlformats.org/officeDocument/2006/relationships/hyperlink" Target="https://www.studymelbourne.vic.gov.au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Ppolicy@dtf.vic.gov.au" TargetMode="External"/><Relationship Id="rId22" Type="http://schemas.openxmlformats.org/officeDocument/2006/relationships/hyperlink" Target="https://global.vic.gov.a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9" ma:contentTypeDescription="DEDJTR Document" ma:contentTypeScope="" ma:versionID="93d766dc5c5a5d9110173654ddf0454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940ab30f2cade75218006b5f21935d77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1B939-16C1-5A4E-BD70-2ED2F1FCB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7F696-57E7-4846-9AF7-FE50D8FDA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2321A-DC6E-4057-9DB4-6467FDEB6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5176</Words>
  <Characters>29509</Characters>
  <Application>Microsoft Office Word</Application>
  <DocSecurity>4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Studio</dc:creator>
  <cp:keywords/>
  <dc:description/>
  <cp:lastModifiedBy>Duncan L Peachey (DJSIR)</cp:lastModifiedBy>
  <cp:revision>2</cp:revision>
  <dcterms:created xsi:type="dcterms:W3CDTF">2023-11-30T03:32:00Z</dcterms:created>
  <dcterms:modified xsi:type="dcterms:W3CDTF">2023-11-30T03:32:00Z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2023-11-30T03:31:55Z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55b49dc7-0090-4011-b379-d1ae4a096d51</vt:lpwstr>
  </property>
  <property fmtid="{D5CDD505-2E9C-101B-9397-08002B2CF9AE}" pid="8" name="MSIP_Label_d00a4df9-c942-4b09-b23a-6c1023f6de27_ContentBits">
    <vt:lpwstr>3</vt:lpwstr>
  </property>
</Properties>
</file>